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B5" w:rsidRDefault="00935EB5" w:rsidP="00935EB5">
      <w:pPr>
        <w:spacing w:line="360" w:lineRule="auto"/>
        <w:rPr>
          <w:szCs w:val="28"/>
        </w:rPr>
      </w:pPr>
      <w:bookmarkStart w:id="0" w:name="_GoBack"/>
      <w:bookmarkEnd w:id="0"/>
    </w:p>
    <w:p w:rsidR="00935EB5" w:rsidRDefault="00935EB5" w:rsidP="00935EB5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CCEBE01" wp14:editId="425BDEF1">
            <wp:extent cx="9144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B5" w:rsidRPr="00445B25" w:rsidRDefault="00935EB5" w:rsidP="00935EB5">
      <w:pPr>
        <w:keepNext/>
        <w:suppressAutoHyphens/>
        <w:snapToGrid w:val="0"/>
        <w:spacing w:line="360" w:lineRule="auto"/>
        <w:ind w:hanging="11"/>
        <w:outlineLvl w:val="0"/>
        <w:rPr>
          <w:b/>
          <w:bCs/>
          <w:kern w:val="1"/>
          <w:sz w:val="40"/>
          <w:szCs w:val="40"/>
        </w:rPr>
      </w:pPr>
      <w:r w:rsidRPr="00445B25">
        <w:rPr>
          <w:b/>
          <w:bCs/>
          <w:kern w:val="1"/>
          <w:sz w:val="40"/>
          <w:szCs w:val="40"/>
        </w:rPr>
        <w:t>ИЗБИРАТЕЛЬНАЯ  КОМИССИЯ</w:t>
      </w:r>
    </w:p>
    <w:p w:rsidR="00935EB5" w:rsidRPr="00445B25" w:rsidRDefault="00935EB5" w:rsidP="00935EB5">
      <w:pPr>
        <w:keepNext/>
        <w:suppressAutoHyphens/>
        <w:snapToGrid w:val="0"/>
        <w:spacing w:line="360" w:lineRule="auto"/>
        <w:ind w:hanging="11"/>
        <w:outlineLvl w:val="0"/>
        <w:rPr>
          <w:b/>
          <w:bCs/>
          <w:kern w:val="1"/>
          <w:sz w:val="30"/>
          <w:szCs w:val="30"/>
        </w:rPr>
      </w:pPr>
      <w:r w:rsidRPr="00445B25">
        <w:rPr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b/>
        </w:rPr>
        <w:t>"</w:t>
      </w:r>
      <w:r w:rsidRPr="00445B25">
        <w:rPr>
          <w:b/>
          <w:bCs/>
          <w:kern w:val="1"/>
          <w:sz w:val="30"/>
          <w:szCs w:val="30"/>
        </w:rPr>
        <w:t>ГОРОД АРХАНГЕЛЬСК</w:t>
      </w:r>
      <w:r w:rsidRPr="00445B25">
        <w:rPr>
          <w:b/>
        </w:rPr>
        <w:t>"</w:t>
      </w:r>
    </w:p>
    <w:p w:rsidR="00935EB5" w:rsidRDefault="00935EB5" w:rsidP="00935EB5">
      <w:pPr>
        <w:keepNext/>
        <w:suppressAutoHyphens/>
        <w:snapToGrid w:val="0"/>
        <w:spacing w:line="360" w:lineRule="auto"/>
        <w:ind w:hanging="11"/>
        <w:outlineLvl w:val="0"/>
        <w:rPr>
          <w:b/>
          <w:bCs/>
          <w:kern w:val="1"/>
          <w:sz w:val="30"/>
          <w:szCs w:val="30"/>
        </w:rPr>
      </w:pPr>
      <w:r w:rsidRPr="00445B25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935EB5" w:rsidRDefault="00935EB5" w:rsidP="00935EB5">
      <w:pPr>
        <w:keepNext/>
        <w:suppressAutoHyphens/>
        <w:snapToGrid w:val="0"/>
        <w:spacing w:line="360" w:lineRule="auto"/>
        <w:ind w:hanging="11"/>
        <w:outlineLvl w:val="0"/>
        <w:rPr>
          <w:b/>
          <w:bCs/>
          <w:kern w:val="1"/>
          <w:sz w:val="30"/>
          <w:szCs w:val="30"/>
        </w:rPr>
      </w:pPr>
    </w:p>
    <w:p w:rsidR="00935EB5" w:rsidRDefault="00935EB5" w:rsidP="00935EB5">
      <w:pPr>
        <w:tabs>
          <w:tab w:val="left" w:pos="3969"/>
        </w:tabs>
        <w:rPr>
          <w:b/>
          <w:bCs/>
          <w:kern w:val="1"/>
          <w:sz w:val="40"/>
          <w:szCs w:val="40"/>
        </w:rPr>
      </w:pPr>
      <w:r w:rsidRPr="00445B25">
        <w:rPr>
          <w:b/>
          <w:bCs/>
          <w:kern w:val="1"/>
          <w:sz w:val="40"/>
          <w:szCs w:val="40"/>
        </w:rPr>
        <w:t>ПОСТАНОВЛЕНИЕ</w:t>
      </w:r>
    </w:p>
    <w:p w:rsidR="00935EB5" w:rsidRPr="00C15227" w:rsidRDefault="00935EB5" w:rsidP="00935EB5">
      <w:pPr>
        <w:tabs>
          <w:tab w:val="left" w:pos="3969"/>
        </w:tabs>
        <w:rPr>
          <w:b/>
          <w:bCs/>
          <w:kern w:val="1"/>
          <w:sz w:val="40"/>
          <w:szCs w:val="40"/>
        </w:rPr>
      </w:pPr>
    </w:p>
    <w:p w:rsidR="00935EB5" w:rsidRPr="0063125A" w:rsidRDefault="00A16BE6" w:rsidP="00935EB5">
      <w:pPr>
        <w:tabs>
          <w:tab w:val="left" w:pos="3969"/>
        </w:tabs>
        <w:ind w:firstLine="143"/>
        <w:rPr>
          <w:b/>
          <w:szCs w:val="28"/>
        </w:rPr>
      </w:pPr>
      <w:r>
        <w:rPr>
          <w:b/>
          <w:szCs w:val="28"/>
        </w:rPr>
        <w:t xml:space="preserve"> 03  августа </w:t>
      </w:r>
      <w:r w:rsidR="00935EB5" w:rsidRPr="0063125A">
        <w:rPr>
          <w:b/>
          <w:szCs w:val="28"/>
        </w:rPr>
        <w:t xml:space="preserve"> 2018 года                        </w:t>
      </w:r>
      <w:r>
        <w:rPr>
          <w:b/>
          <w:szCs w:val="28"/>
        </w:rPr>
        <w:t xml:space="preserve">             </w:t>
      </w:r>
      <w:r w:rsidR="00935EB5" w:rsidRPr="0063125A">
        <w:rPr>
          <w:b/>
          <w:szCs w:val="28"/>
        </w:rPr>
        <w:t xml:space="preserve">                        </w:t>
      </w:r>
      <w:r w:rsidR="00D83015">
        <w:rPr>
          <w:b/>
          <w:szCs w:val="28"/>
        </w:rPr>
        <w:t>№  20/101</w:t>
      </w:r>
      <w:r w:rsidR="00935EB5" w:rsidRPr="0063125A">
        <w:rPr>
          <w:b/>
          <w:szCs w:val="28"/>
        </w:rPr>
        <w:t xml:space="preserve">                         </w:t>
      </w:r>
      <w:r w:rsidR="00935EB5">
        <w:rPr>
          <w:b/>
          <w:szCs w:val="28"/>
        </w:rPr>
        <w:t xml:space="preserve">                              </w:t>
      </w:r>
    </w:p>
    <w:p w:rsidR="00935EB5" w:rsidRDefault="00935EB5">
      <w:pPr>
        <w:suppressAutoHyphens/>
        <w:spacing w:after="120"/>
        <w:rPr>
          <w:b/>
          <w:bCs/>
          <w:spacing w:val="100"/>
          <w:szCs w:val="28"/>
        </w:rPr>
      </w:pPr>
    </w:p>
    <w:p w:rsidR="00935EB5" w:rsidRPr="00A16BE6" w:rsidRDefault="00A16BE6" w:rsidP="00935EB5">
      <w:pPr>
        <w:suppressAutoHyphens/>
        <w:rPr>
          <w:b/>
        </w:rPr>
      </w:pPr>
      <w:r w:rsidRPr="00A16BE6">
        <w:rPr>
          <w:b/>
          <w:szCs w:val="28"/>
        </w:rPr>
        <w:t xml:space="preserve">О Порядке </w:t>
      </w:r>
      <w:r w:rsidR="00935EB5" w:rsidRPr="00A16BE6">
        <w:rPr>
          <w:b/>
          <w:bCs/>
          <w:szCs w:val="28"/>
        </w:rPr>
        <w:t>приема, учета, анализа, обработки и хранения в избирательной комиссии муниципального образования «Город Архангельск», территориальных избирательных комиссиях города Архангельска предвыборных агитационных материалов и представляемых одновременно с ними документов в период избирательной кампании по выборам депутатов Архангельской городской Думы двадцать седьмого созыва</w:t>
      </w:r>
    </w:p>
    <w:p w:rsidR="00935EB5" w:rsidRDefault="00935EB5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 w:rsidP="00A16BE6">
      <w:pPr>
        <w:spacing w:line="360" w:lineRule="auto"/>
        <w:ind w:firstLine="720"/>
        <w:jc w:val="both"/>
        <w:rPr>
          <w:szCs w:val="28"/>
        </w:rPr>
      </w:pPr>
      <w:r w:rsidRPr="00247ABC">
        <w:rPr>
          <w:szCs w:val="28"/>
        </w:rPr>
        <w:t>В целях обеспечения единообразного применения областного закона «О выборах в органы местного самоуправления в Архангельской области</w:t>
      </w:r>
      <w:r w:rsidRPr="00247ABC">
        <w:rPr>
          <w:rFonts w:ascii="Arial" w:hAnsi="Arial" w:cs="Arial"/>
          <w:szCs w:val="28"/>
        </w:rPr>
        <w:t>»</w:t>
      </w:r>
      <w:r w:rsidRPr="00247ABC">
        <w:rPr>
          <w:szCs w:val="28"/>
        </w:rPr>
        <w:t xml:space="preserve"> в период избирательной кампа</w:t>
      </w:r>
      <w:r>
        <w:rPr>
          <w:szCs w:val="28"/>
        </w:rPr>
        <w:t xml:space="preserve">нии, в соответствии со статьями </w:t>
      </w:r>
      <w:r w:rsidRPr="00247ABC">
        <w:rPr>
          <w:szCs w:val="28"/>
        </w:rPr>
        <w:t xml:space="preserve"> </w:t>
      </w:r>
      <w:r>
        <w:rPr>
          <w:szCs w:val="28"/>
        </w:rPr>
        <w:t>57</w:t>
      </w:r>
      <w:r w:rsidRPr="00247ABC">
        <w:rPr>
          <w:szCs w:val="28"/>
        </w:rPr>
        <w:t>,</w:t>
      </w:r>
      <w:r>
        <w:rPr>
          <w:szCs w:val="28"/>
        </w:rPr>
        <w:t xml:space="preserve"> 62, 63  </w:t>
      </w:r>
      <w:r w:rsidRPr="00247ABC">
        <w:rPr>
          <w:szCs w:val="28"/>
        </w:rPr>
        <w:t xml:space="preserve"> областного закона «О выборах в органы местного самоуправления в Архангельской области», избирательная комиссия муниципального образования «Город Архангельск</w:t>
      </w:r>
      <w:r w:rsidRPr="00247ABC">
        <w:rPr>
          <w:rFonts w:ascii="Arial" w:hAnsi="Arial" w:cs="Arial"/>
          <w:szCs w:val="28"/>
        </w:rPr>
        <w:t>»</w:t>
      </w:r>
      <w:r w:rsidRPr="00247ABC">
        <w:rPr>
          <w:szCs w:val="28"/>
        </w:rPr>
        <w:t xml:space="preserve"> </w:t>
      </w:r>
      <w:r w:rsidRPr="00247ABC">
        <w:rPr>
          <w:b/>
          <w:szCs w:val="28"/>
        </w:rPr>
        <w:t>постановляет</w:t>
      </w:r>
      <w:r w:rsidRPr="00247ABC">
        <w:rPr>
          <w:szCs w:val="28"/>
        </w:rPr>
        <w:t>:</w:t>
      </w:r>
    </w:p>
    <w:p w:rsidR="00A16BE6" w:rsidRDefault="00A16BE6" w:rsidP="00A16BE6">
      <w:pPr>
        <w:spacing w:line="360" w:lineRule="auto"/>
        <w:ind w:firstLine="720"/>
        <w:jc w:val="both"/>
        <w:rPr>
          <w:bCs/>
          <w:szCs w:val="28"/>
        </w:rPr>
      </w:pPr>
      <w:r w:rsidRPr="00A16BE6">
        <w:rPr>
          <w:szCs w:val="28"/>
        </w:rPr>
        <w:t xml:space="preserve">1. Утвердить Порядок </w:t>
      </w:r>
      <w:r w:rsidRPr="00A16BE6">
        <w:rPr>
          <w:bCs/>
          <w:szCs w:val="28"/>
        </w:rPr>
        <w:t xml:space="preserve">приема, учета, анализа, обработки и хранения в избирательной комиссии муниципального образования «Город Архангельск», территориальных избирательных комиссиях города Архангельска предвыборных агитационных материалов и представляемых одновременно с ними документов в период избирательной кампании по </w:t>
      </w:r>
      <w:r w:rsidRPr="00A16BE6">
        <w:rPr>
          <w:bCs/>
          <w:szCs w:val="28"/>
        </w:rPr>
        <w:lastRenderedPageBreak/>
        <w:t>выборам депутатов Архангельской городской Думы двадцать седьмого созыва</w:t>
      </w:r>
      <w:r>
        <w:rPr>
          <w:bCs/>
          <w:szCs w:val="28"/>
        </w:rPr>
        <w:t>.</w:t>
      </w:r>
    </w:p>
    <w:p w:rsidR="00A16BE6" w:rsidRDefault="00A16BE6" w:rsidP="00A16BE6">
      <w:pPr>
        <w:spacing w:line="360" w:lineRule="auto"/>
        <w:ind w:firstLine="720"/>
        <w:jc w:val="both"/>
        <w:rPr>
          <w:szCs w:val="28"/>
        </w:rPr>
      </w:pPr>
      <w:r>
        <w:rPr>
          <w:bCs/>
          <w:szCs w:val="28"/>
        </w:rPr>
        <w:t xml:space="preserve">2. </w:t>
      </w:r>
      <w:r w:rsidRPr="00B311C9">
        <w:rPr>
          <w:szCs w:val="28"/>
        </w:rPr>
        <w:t>Направить настоящее постановление</w:t>
      </w:r>
      <w:r>
        <w:rPr>
          <w:szCs w:val="28"/>
        </w:rPr>
        <w:t xml:space="preserve"> в </w:t>
      </w:r>
      <w:proofErr w:type="gramStart"/>
      <w:r>
        <w:rPr>
          <w:szCs w:val="28"/>
        </w:rPr>
        <w:t>территориальные</w:t>
      </w:r>
      <w:proofErr w:type="gramEnd"/>
      <w:r>
        <w:rPr>
          <w:szCs w:val="28"/>
        </w:rPr>
        <w:t xml:space="preserve"> избирательную комиссию.</w:t>
      </w:r>
    </w:p>
    <w:p w:rsidR="00A16BE6" w:rsidRPr="00A16BE6" w:rsidRDefault="00A16BE6" w:rsidP="00A16BE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избирательной комиссии муниципального образования «Город Архангельск».</w:t>
      </w:r>
    </w:p>
    <w:p w:rsidR="00935EB5" w:rsidRDefault="00935EB5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 w:rsidP="00A16BE6">
      <w:pPr>
        <w:spacing w:line="360" w:lineRule="auto"/>
        <w:jc w:val="both"/>
        <w:rPr>
          <w:b/>
          <w:bCs/>
          <w:szCs w:val="28"/>
        </w:rPr>
      </w:pPr>
    </w:p>
    <w:p w:rsidR="00A16BE6" w:rsidRDefault="00A16BE6" w:rsidP="00A16BE6">
      <w:pPr>
        <w:spacing w:line="360" w:lineRule="auto"/>
        <w:jc w:val="both"/>
        <w:rPr>
          <w:szCs w:val="28"/>
        </w:rPr>
      </w:pPr>
      <w:r w:rsidRPr="0063125A">
        <w:rPr>
          <w:b/>
          <w:bCs/>
          <w:szCs w:val="28"/>
        </w:rPr>
        <w:t xml:space="preserve">Председатель комиссии </w:t>
      </w:r>
      <w:r w:rsidRPr="0063125A">
        <w:rPr>
          <w:b/>
          <w:bCs/>
          <w:szCs w:val="28"/>
        </w:rPr>
        <w:tab/>
        <w:t xml:space="preserve"> </w:t>
      </w:r>
      <w:r w:rsidRPr="0063125A">
        <w:rPr>
          <w:b/>
          <w:bCs/>
          <w:szCs w:val="28"/>
        </w:rPr>
        <w:tab/>
      </w:r>
      <w:r w:rsidRPr="0063125A">
        <w:rPr>
          <w:b/>
          <w:bCs/>
          <w:szCs w:val="28"/>
        </w:rPr>
        <w:tab/>
      </w:r>
      <w:r w:rsidRPr="0063125A">
        <w:rPr>
          <w:b/>
          <w:bCs/>
          <w:szCs w:val="28"/>
        </w:rPr>
        <w:tab/>
        <w:t xml:space="preserve">                 </w:t>
      </w:r>
      <w:r w:rsidR="00743D48">
        <w:rPr>
          <w:b/>
          <w:bCs/>
          <w:szCs w:val="28"/>
        </w:rPr>
        <w:t xml:space="preserve">        </w:t>
      </w:r>
      <w:r w:rsidRPr="0063125A">
        <w:rPr>
          <w:b/>
          <w:bCs/>
          <w:szCs w:val="28"/>
        </w:rPr>
        <w:t xml:space="preserve">А.А. Кузнецов   </w:t>
      </w:r>
    </w:p>
    <w:p w:rsidR="00A16BE6" w:rsidRDefault="00A16BE6" w:rsidP="00A16BE6">
      <w:pPr>
        <w:spacing w:line="360" w:lineRule="auto"/>
        <w:jc w:val="both"/>
        <w:rPr>
          <w:szCs w:val="28"/>
        </w:rPr>
      </w:pPr>
    </w:p>
    <w:p w:rsidR="00A16BE6" w:rsidRPr="00A16BE6" w:rsidRDefault="00A16BE6" w:rsidP="00A16BE6">
      <w:pPr>
        <w:spacing w:line="360" w:lineRule="auto"/>
        <w:jc w:val="both"/>
        <w:rPr>
          <w:szCs w:val="28"/>
        </w:rPr>
      </w:pPr>
      <w:r w:rsidRPr="0063125A">
        <w:rPr>
          <w:b/>
          <w:szCs w:val="28"/>
        </w:rPr>
        <w:t xml:space="preserve">Секретарь  комиссии        </w:t>
      </w:r>
      <w:r w:rsidR="00743D48">
        <w:rPr>
          <w:b/>
          <w:szCs w:val="28"/>
        </w:rPr>
        <w:t xml:space="preserve">  </w:t>
      </w:r>
      <w:r w:rsidR="00743D48">
        <w:rPr>
          <w:b/>
          <w:szCs w:val="28"/>
        </w:rPr>
        <w:tab/>
      </w:r>
      <w:r w:rsidR="00743D48">
        <w:rPr>
          <w:b/>
          <w:szCs w:val="28"/>
        </w:rPr>
        <w:tab/>
      </w:r>
      <w:r w:rsidR="00743D48">
        <w:rPr>
          <w:b/>
          <w:szCs w:val="28"/>
        </w:rPr>
        <w:tab/>
        <w:t xml:space="preserve">                        </w:t>
      </w:r>
      <w:r w:rsidRPr="0063125A">
        <w:rPr>
          <w:b/>
          <w:szCs w:val="28"/>
        </w:rPr>
        <w:t xml:space="preserve"> </w:t>
      </w:r>
      <w:r>
        <w:rPr>
          <w:b/>
          <w:szCs w:val="28"/>
        </w:rPr>
        <w:t>Е.Н. Березина</w:t>
      </w: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p w:rsidR="00A16BE6" w:rsidRDefault="00A16BE6">
      <w:pPr>
        <w:suppressAutoHyphens/>
        <w:spacing w:after="120"/>
        <w:rPr>
          <w:b/>
          <w:bCs/>
          <w:spacing w:val="100"/>
          <w:szCs w:val="28"/>
        </w:rPr>
      </w:pP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4785"/>
        <w:gridCol w:w="4785"/>
      </w:tblGrid>
      <w:tr w:rsidR="00935EB5" w:rsidTr="00743D48">
        <w:tc>
          <w:tcPr>
            <w:tcW w:w="4785" w:type="dxa"/>
            <w:shd w:val="clear" w:color="auto" w:fill="auto"/>
          </w:tcPr>
          <w:p w:rsidR="00935EB5" w:rsidRDefault="00935EB5" w:rsidP="006647D7">
            <w:pPr>
              <w:suppressAutoHyphens/>
              <w:snapToGrid w:val="0"/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35EB5" w:rsidRDefault="00935EB5" w:rsidP="006647D7">
            <w:pPr>
              <w:suppressAutoHyphens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УТВЕРЖДЕН </w:t>
            </w:r>
          </w:p>
          <w:p w:rsidR="00935EB5" w:rsidRDefault="00935EB5" w:rsidP="00743D4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br/>
              <w:t xml:space="preserve">избирательной комиссии </w:t>
            </w:r>
          </w:p>
          <w:p w:rsidR="00743D48" w:rsidRDefault="00935EB5" w:rsidP="00743D4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муниципального образования </w:t>
            </w:r>
          </w:p>
          <w:p w:rsidR="00935EB5" w:rsidRDefault="00935EB5" w:rsidP="00743D4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«Город Архангельск» </w:t>
            </w:r>
          </w:p>
          <w:p w:rsidR="00935EB5" w:rsidRDefault="00935EB5" w:rsidP="00743D4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от 03 августа 2018  г. № </w:t>
            </w:r>
            <w:r w:rsidR="007240BD">
              <w:rPr>
                <w:sz w:val="24"/>
              </w:rPr>
              <w:t>20/101</w:t>
            </w:r>
          </w:p>
          <w:p w:rsidR="00935EB5" w:rsidRDefault="00935EB5" w:rsidP="006647D7">
            <w:pPr>
              <w:suppressAutoHyphens/>
              <w:spacing w:before="120" w:after="120"/>
              <w:rPr>
                <w:sz w:val="24"/>
              </w:rPr>
            </w:pPr>
          </w:p>
        </w:tc>
      </w:tr>
    </w:tbl>
    <w:p w:rsidR="001D3545" w:rsidRPr="00743D48" w:rsidRDefault="00951BA6">
      <w:pPr>
        <w:suppressAutoHyphens/>
        <w:spacing w:after="120"/>
      </w:pPr>
      <w:r w:rsidRPr="00743D48">
        <w:rPr>
          <w:b/>
          <w:bCs/>
          <w:spacing w:val="100"/>
          <w:szCs w:val="28"/>
        </w:rPr>
        <w:t>ПОРЯДО</w:t>
      </w:r>
      <w:r w:rsidRPr="00743D48">
        <w:rPr>
          <w:b/>
          <w:bCs/>
          <w:szCs w:val="28"/>
        </w:rPr>
        <w:t>К</w:t>
      </w:r>
    </w:p>
    <w:p w:rsidR="001D3545" w:rsidRDefault="00951BA6">
      <w:pPr>
        <w:suppressAutoHyphens/>
        <w:rPr>
          <w:b/>
          <w:bCs/>
          <w:szCs w:val="28"/>
        </w:rPr>
      </w:pPr>
      <w:r w:rsidRPr="00743D48">
        <w:rPr>
          <w:b/>
          <w:bCs/>
          <w:szCs w:val="28"/>
        </w:rPr>
        <w:t>приема, учета, анализа, обработки и хранения в</w:t>
      </w:r>
      <w:r w:rsidR="00A41917" w:rsidRPr="00743D48">
        <w:rPr>
          <w:b/>
          <w:bCs/>
          <w:szCs w:val="28"/>
        </w:rPr>
        <w:t xml:space="preserve"> </w:t>
      </w:r>
      <w:r w:rsidRPr="00743D48">
        <w:rPr>
          <w:b/>
          <w:bCs/>
          <w:szCs w:val="28"/>
        </w:rPr>
        <w:t xml:space="preserve">избирательной комиссии </w:t>
      </w:r>
      <w:r w:rsidR="00A41917" w:rsidRPr="00743D48">
        <w:rPr>
          <w:b/>
          <w:bCs/>
          <w:szCs w:val="28"/>
        </w:rPr>
        <w:t xml:space="preserve">муниципального образования «Город Архангельск», территориальных избирательных комиссиях города Архангельска </w:t>
      </w:r>
      <w:r w:rsidRPr="00743D48">
        <w:rPr>
          <w:b/>
          <w:bCs/>
          <w:szCs w:val="28"/>
        </w:rPr>
        <w:t xml:space="preserve">предвыборных агитационных материалов и представляемых одновременно с ними документов в период избирательной кампании по выборам </w:t>
      </w:r>
      <w:r w:rsidR="00A41917" w:rsidRPr="00743D48">
        <w:rPr>
          <w:b/>
          <w:bCs/>
          <w:szCs w:val="28"/>
        </w:rPr>
        <w:t>депутатов Архангельской городской Думы двадцать седьмого созыва</w:t>
      </w:r>
    </w:p>
    <w:p w:rsidR="001D3545" w:rsidRDefault="001D3545">
      <w:pPr>
        <w:suppressAutoHyphens/>
        <w:rPr>
          <w:b/>
          <w:bCs/>
          <w:szCs w:val="28"/>
        </w:rPr>
      </w:pPr>
    </w:p>
    <w:p w:rsidR="001D3545" w:rsidRDefault="00951BA6">
      <w:pPr>
        <w:keepNext/>
        <w:keepLines/>
        <w:suppressAutoHyphens/>
        <w:spacing w:after="240"/>
        <w:rPr>
          <w:b/>
          <w:kern w:val="2"/>
          <w:szCs w:val="28"/>
        </w:rPr>
      </w:pPr>
      <w:r>
        <w:rPr>
          <w:b/>
          <w:bCs/>
          <w:szCs w:val="28"/>
        </w:rPr>
        <w:t>1. Общие положения</w:t>
      </w:r>
    </w:p>
    <w:p w:rsidR="001D3545" w:rsidRDefault="00951BA6">
      <w:pPr>
        <w:suppressAutoHyphens/>
        <w:spacing w:line="360" w:lineRule="auto"/>
        <w:ind w:firstLine="709"/>
        <w:jc w:val="both"/>
      </w:pPr>
      <w:r>
        <w:rPr>
          <w:szCs w:val="28"/>
        </w:rPr>
        <w:t>1.1. </w:t>
      </w:r>
      <w:proofErr w:type="gramStart"/>
      <w:r>
        <w:rPr>
          <w:szCs w:val="28"/>
        </w:rPr>
        <w:t xml:space="preserve">Прием предвыборных агитационных материалов и представляемых одновременно с ними документов в период избирательной кампании по выборам </w:t>
      </w:r>
      <w:r w:rsidR="00A41917" w:rsidRPr="00743D48">
        <w:rPr>
          <w:szCs w:val="28"/>
        </w:rPr>
        <w:t xml:space="preserve">депутатов Архангельской городской Думы </w:t>
      </w:r>
      <w:r w:rsidRPr="00743D48">
        <w:rPr>
          <w:szCs w:val="28"/>
        </w:rPr>
        <w:t xml:space="preserve">организуют члены Рабочей группы по информационным спорам и иным вопросам информационного обеспечения выборов – члены </w:t>
      </w:r>
      <w:r w:rsidR="00A41917" w:rsidRPr="00743D48">
        <w:rPr>
          <w:bCs/>
          <w:szCs w:val="28"/>
        </w:rPr>
        <w:t xml:space="preserve">избирательной комиссии муниципального образования «Город Архангельск», территориальных избирательных комиссиях города Архангельска </w:t>
      </w:r>
      <w:r w:rsidRPr="00743D48">
        <w:rPr>
          <w:szCs w:val="28"/>
        </w:rPr>
        <w:t>с правом ре</w:t>
      </w:r>
      <w:r w:rsidR="00A41917" w:rsidRPr="00743D48">
        <w:rPr>
          <w:szCs w:val="28"/>
        </w:rPr>
        <w:t>шающего голоса (далее – члены избирательных комиссий</w:t>
      </w:r>
      <w:r w:rsidRPr="00743D48">
        <w:rPr>
          <w:szCs w:val="28"/>
        </w:rPr>
        <w:t>).</w:t>
      </w:r>
      <w:proofErr w:type="gramEnd"/>
    </w:p>
    <w:p w:rsidR="00A41917" w:rsidRDefault="00951BA6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1.2. </w:t>
      </w:r>
      <w:proofErr w:type="gramStart"/>
      <w:r>
        <w:rPr>
          <w:szCs w:val="28"/>
        </w:rPr>
        <w:t xml:space="preserve">Прием членами </w:t>
      </w:r>
      <w:r w:rsidR="00A41917">
        <w:rPr>
          <w:szCs w:val="28"/>
        </w:rPr>
        <w:t xml:space="preserve">избирательных комиссий </w:t>
      </w:r>
      <w:r>
        <w:rPr>
          <w:szCs w:val="28"/>
        </w:rPr>
        <w:t>экземпляров печатных предвыборных агитационных материалов или их копий, экземпляров аудиовизуальных предвыборных агитационных материалов, фотографий или экземпляров иных предвыборных агитационных материалов, выпущенных избирательными объединениями, выдвинувшими списки кандидатов, кандидатами, в том числе предвыборных агитационных материалов, предназначенных для размещения в сетевых изданиях, а также электронных образов этих предвыборных агитационных материалов в машиночитаемом виде (при наличии) (далее – экземпляры предвыборных агитационных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материалов) и представляемых одновременно с ними в соответствии с пунктом 9 статьи 48 и пунктом 3 статьи 54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закон), документов от уполномоченных представителей избирательных объединений, выдвинувших списки кандидатов, уполномоченных представителей по финансовым вопросам или доверенных лиц таких избирательных объединений, кандидатов, зарегистрированных кандидатов</w:t>
      </w:r>
      <w:proofErr w:type="gramEnd"/>
      <w:r>
        <w:rPr>
          <w:szCs w:val="28"/>
        </w:rPr>
        <w:t>, их уполномоченных представителей по финансовым вопросам, доверенных лиц (далее – уполномоченных лиц), производится по рабочим дням с 10 до 17 ч</w:t>
      </w:r>
      <w:r w:rsidR="00A41917">
        <w:rPr>
          <w:szCs w:val="28"/>
        </w:rPr>
        <w:t>асов (в пятницу – до 16 часов), в выходные дни с 11 до 14 часов.</w:t>
      </w:r>
    </w:p>
    <w:p w:rsidR="001D3545" w:rsidRDefault="00A41917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Принятые членом избирательной комиссии</w:t>
      </w:r>
      <w:r w:rsidR="00951BA6">
        <w:rPr>
          <w:szCs w:val="28"/>
        </w:rPr>
        <w:t xml:space="preserve"> экземпляры предвыборных агитационных материалов и представляемых одновременно с ними документов подлежат регистрации в соответствии с существующим поряд</w:t>
      </w:r>
      <w:r>
        <w:rPr>
          <w:szCs w:val="28"/>
        </w:rPr>
        <w:t>ком регистрации документов в  комиссиях</w:t>
      </w:r>
      <w:r w:rsidR="00951BA6">
        <w:rPr>
          <w:szCs w:val="28"/>
        </w:rPr>
        <w:t>.</w:t>
      </w:r>
    </w:p>
    <w:p w:rsidR="001D3545" w:rsidRDefault="00951BA6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 Направленные в Комиссию уполномоченными лицами с сопроводительными письмами по почте или с курьерами экземпляры предвыборных агитационных материалов и представляемых одновременно с ними документов, поступив в Комиссию, регистрируются в соответствии с Инструкцией по делопроизводству в </w:t>
      </w:r>
      <w:r w:rsidR="004E1CDA">
        <w:rPr>
          <w:szCs w:val="28"/>
        </w:rPr>
        <w:t>избирательных комиссиях.</w:t>
      </w:r>
    </w:p>
    <w:p w:rsidR="001D3545" w:rsidRDefault="00951BA6">
      <w:pPr>
        <w:pStyle w:val="20"/>
        <w:suppressAutoHyphens/>
        <w:spacing w:before="0"/>
      </w:pPr>
      <w:r>
        <w:t>1.4. Все агитационные материалы должны изготавливаться на территории Российской Федерации.</w:t>
      </w:r>
    </w:p>
    <w:p w:rsidR="001D3545" w:rsidRDefault="00951BA6">
      <w:pPr>
        <w:pStyle w:val="20"/>
        <w:suppressAutoHyphens/>
        <w:spacing w:before="0"/>
      </w:pPr>
      <w:r>
        <w:t xml:space="preserve">1.5. Вместе с агитационными материалами представляются документы, содержащие сведения о месте нахождения (об адресе места жительства) организации (лица), изготовившей и заказавшей (изготовившего и заказавшего) эти материалы, и </w:t>
      </w:r>
      <w:r>
        <w:rPr>
          <w:rFonts w:eastAsia="Calibri"/>
          <w:lang w:eastAsia="en-US"/>
        </w:rPr>
        <w:t xml:space="preserve">копия документа об оплате изготовления данного предвыборного агитационного материала из соответствующего избирательного фонда с отметкой филиала </w:t>
      </w:r>
      <w:r>
        <w:rPr>
          <w:rFonts w:eastAsia="Calibri"/>
        </w:rPr>
        <w:t xml:space="preserve">ПАО «Сбербанк России» </w:t>
      </w:r>
      <w:r>
        <w:rPr>
          <w:rFonts w:eastAsia="Calibri"/>
          <w:lang w:eastAsia="en-US"/>
        </w:rPr>
        <w:t>(иной кредитной организации)</w:t>
      </w:r>
      <w:r>
        <w:t>.</w:t>
      </w:r>
    </w:p>
    <w:p w:rsidR="001D3545" w:rsidRDefault="00951BA6">
      <w:pPr>
        <w:pStyle w:val="20"/>
        <w:suppressAutoHyphens/>
        <w:spacing w:before="0"/>
      </w:pPr>
      <w:r>
        <w:t>Также вместе с агитационными материалами могут быть представлены электронные образы этих предвыборных агитационных материалов в машиночитаемом виде.</w:t>
      </w:r>
    </w:p>
    <w:p w:rsidR="001D3545" w:rsidRDefault="00951BA6">
      <w:pPr>
        <w:pStyle w:val="20"/>
        <w:suppressAutoHyphens/>
        <w:spacing w:before="0"/>
      </w:pPr>
      <w:r>
        <w:t>1.6. </w:t>
      </w:r>
      <w:proofErr w:type="gramStart"/>
      <w:r>
        <w:t>В случае использования в агитационном материале высказываний физического лица о кандидате, избирательном объединении также представляется документ, подтверждающий согласие физического лица на такое использование, за исключением случаев, указанных в подпунктах «а» – «в» пункта 9 статьи 48 Федерального закона «Об основных гарантиях избирательных прав и права на участие в референдуме граждан Российской Федерации»:</w:t>
      </w:r>
      <w:proofErr w:type="gramEnd"/>
    </w:p>
    <w:p w:rsidR="001D3545" w:rsidRDefault="00951BA6">
      <w:pPr>
        <w:pStyle w:val="20"/>
        <w:suppressAutoHyphens/>
        <w:spacing w:before="0"/>
      </w:pPr>
      <w:r>
        <w:t>а) использование избирательным объединением высказываний выдвинутых им кандидатов;</w:t>
      </w:r>
    </w:p>
    <w:p w:rsidR="001D3545" w:rsidRDefault="00951BA6">
      <w:pPr>
        <w:pStyle w:val="20"/>
        <w:suppressAutoHyphens/>
        <w:spacing w:before="0"/>
      </w:pPr>
      <w:r>
        <w:t>б) использование обнародованных высказываний о кандидатах, об избирательных объединениях с указанием даты (периода времени) обнародования таких высказываний и наименования средства массовой информации, в котором они были обнародованы;</w:t>
      </w:r>
    </w:p>
    <w:p w:rsidR="001D3545" w:rsidRDefault="00951BA6">
      <w:pPr>
        <w:pStyle w:val="20"/>
        <w:suppressAutoHyphens/>
        <w:spacing w:before="0"/>
      </w:pPr>
      <w:r>
        <w:t>в) цитирование высказываний об избирательном объединении, о кандидате, обнародованных иными избирательными объединениями, а также кандидатами в своих агитационных материалах, изготовленных и распространенных в соответствии с законом.</w:t>
      </w:r>
    </w:p>
    <w:p w:rsidR="001D3545" w:rsidRDefault="00951BA6">
      <w:pPr>
        <w:pStyle w:val="20"/>
        <w:suppressAutoHyphens/>
        <w:spacing w:before="0"/>
      </w:pPr>
      <w:r>
        <w:t>1.7. Все печатные и аудиовизуальные агитационные материалы должны содержать:</w:t>
      </w:r>
    </w:p>
    <w:p w:rsidR="001D3545" w:rsidRDefault="00951BA6">
      <w:pPr>
        <w:pStyle w:val="20"/>
        <w:suppressAutoHyphens/>
        <w:spacing w:before="0"/>
      </w:pPr>
      <w:proofErr w:type="gramStart"/>
      <w:r>
        <w:t>а) наименование, юридический адрес и ИНН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материалы;</w:t>
      </w:r>
      <w:proofErr w:type="gramEnd"/>
    </w:p>
    <w:p w:rsidR="001D3545" w:rsidRDefault="00951BA6">
      <w:pPr>
        <w:pStyle w:val="20"/>
        <w:suppressAutoHyphens/>
        <w:spacing w:before="0"/>
      </w:pPr>
      <w:proofErr w:type="gramStart"/>
      <w:r>
        <w:t>б) наименование организации (фамилию, имя, отчество лица), заказавшей (заказавшего) агитационные материалы (избирательного объединения, кандидата);</w:t>
      </w:r>
      <w:proofErr w:type="gramEnd"/>
    </w:p>
    <w:p w:rsidR="001D3545" w:rsidRDefault="00951BA6">
      <w:pPr>
        <w:pStyle w:val="20"/>
        <w:suppressAutoHyphens/>
        <w:spacing w:before="0"/>
      </w:pPr>
      <w:r>
        <w:t>в) информацию о тираже агитационного материала;</w:t>
      </w:r>
    </w:p>
    <w:p w:rsidR="001D3545" w:rsidRDefault="00951BA6">
      <w:pPr>
        <w:pStyle w:val="20"/>
        <w:suppressAutoHyphens/>
        <w:spacing w:before="0"/>
      </w:pPr>
      <w:r>
        <w:t>г) информацию о дате выпуска агитационного материала;</w:t>
      </w:r>
    </w:p>
    <w:p w:rsidR="001D3545" w:rsidRDefault="00951BA6">
      <w:pPr>
        <w:suppressAutoHyphens/>
        <w:spacing w:line="360" w:lineRule="auto"/>
        <w:ind w:firstLine="709"/>
        <w:jc w:val="both"/>
        <w:rPr>
          <w:szCs w:val="28"/>
        </w:rPr>
      </w:pPr>
      <w:r>
        <w:t>д) указание об оплате их изготовления из средств соответствующего избирательного фонда.</w:t>
      </w:r>
    </w:p>
    <w:p w:rsidR="001D3545" w:rsidRDefault="00951BA6">
      <w:pPr>
        <w:pStyle w:val="14"/>
        <w:keepNext/>
        <w:keepLines/>
        <w:widowControl/>
        <w:suppressAutoHyphens/>
        <w:spacing w:before="240" w:after="360"/>
      </w:pPr>
      <w:r>
        <w:t>2. Организация работы по приему предвыборных агитационных материалов и проверке представленных агитационных материалов на соответствие требованиям законодательства о порядке изготовления агитационных материалов</w:t>
      </w:r>
    </w:p>
    <w:p w:rsidR="001D3545" w:rsidRDefault="004E1CDA">
      <w:pPr>
        <w:pStyle w:val="20"/>
        <w:suppressAutoHyphens/>
        <w:spacing w:before="0"/>
        <w:rPr>
          <w:szCs w:val="28"/>
        </w:rPr>
      </w:pPr>
      <w:r>
        <w:rPr>
          <w:szCs w:val="28"/>
        </w:rPr>
        <w:t>2.1. Член избирательной комиссии</w:t>
      </w:r>
      <w:r w:rsidR="00951BA6">
        <w:rPr>
          <w:szCs w:val="28"/>
        </w:rPr>
        <w:t>, ответственный за прием экземпляров предвыборных агитационных материалов, принимая от уполномоченного лица экземпляр предвыборного агитационного материала и прилагаемые к нему документы, осуществляет первоначальную проверку представленных материалов и документов на соответствие требованиям федерального законодательства. В случае выявления несоответствия представленных материалов и (или) документов требованиям законодательства он информирует об этом факте уполномоченное лицо и рекомендует представить эти материалы и документы в Комиссию после устранения указанного несоответствия.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2.2. Представленные материалы и документы (в том числе в случае несогласия уполномоченного лица на устранение вышеуказанного несоответствия) вместе с сопроводительным письмом и его копией незамедлительно передаются членом </w:t>
      </w:r>
      <w:r w:rsidR="004E1CDA">
        <w:rPr>
          <w:szCs w:val="28"/>
        </w:rPr>
        <w:t>избирательной комиссии</w:t>
      </w:r>
      <w:r>
        <w:rPr>
          <w:szCs w:val="28"/>
        </w:rPr>
        <w:t xml:space="preserve">, ответственным за прием экземпляров предвыборных агитационных материалов, для регистрации. 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2.3. Член </w:t>
      </w:r>
      <w:r w:rsidR="004E1CDA">
        <w:rPr>
          <w:szCs w:val="28"/>
        </w:rPr>
        <w:t>избирательной комиссии</w:t>
      </w:r>
      <w:r>
        <w:rPr>
          <w:szCs w:val="28"/>
        </w:rPr>
        <w:t xml:space="preserve"> регистрирует документы, указанные в пункте 2.1 настоящего Порядка, в соответствии с Инструкцией по делопроизводству в </w:t>
      </w:r>
      <w:r w:rsidR="004E1CDA">
        <w:rPr>
          <w:szCs w:val="28"/>
        </w:rPr>
        <w:t>избирательных комиссиях</w:t>
      </w:r>
      <w:r>
        <w:rPr>
          <w:szCs w:val="28"/>
        </w:rPr>
        <w:t>, после чего представленная уполномоченным лицом копия сопроводительного письма возвращается ему с отметкой о получении</w:t>
      </w:r>
      <w:r>
        <w:rPr>
          <w:color w:val="000000"/>
          <w:spacing w:val="3"/>
          <w:szCs w:val="28"/>
        </w:rPr>
        <w:t xml:space="preserve">. 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2.4. В случае несоответствия информации, содержащейся в сопроводительном письме, прилагаемым к нему документам и (или) материалам и </w:t>
      </w:r>
      <w:proofErr w:type="spellStart"/>
      <w:r>
        <w:rPr>
          <w:szCs w:val="28"/>
        </w:rPr>
        <w:t>неустранения</w:t>
      </w:r>
      <w:proofErr w:type="spellEnd"/>
      <w:r>
        <w:rPr>
          <w:szCs w:val="28"/>
        </w:rPr>
        <w:t xml:space="preserve"> этого несоответствия уполномоченным лицом членом </w:t>
      </w:r>
      <w:r w:rsidR="004E1CDA">
        <w:rPr>
          <w:szCs w:val="28"/>
        </w:rPr>
        <w:t xml:space="preserve">избирательной комиссии </w:t>
      </w:r>
      <w:r>
        <w:rPr>
          <w:szCs w:val="28"/>
        </w:rPr>
        <w:t>составляется а</w:t>
      </w:r>
      <w:proofErr w:type="gramStart"/>
      <w:r>
        <w:rPr>
          <w:szCs w:val="28"/>
        </w:rPr>
        <w:t>кт в дв</w:t>
      </w:r>
      <w:proofErr w:type="gramEnd"/>
      <w:r>
        <w:rPr>
          <w:szCs w:val="28"/>
        </w:rPr>
        <w:t xml:space="preserve">ух экземплярах по форме приложения № 1 </w:t>
      </w:r>
      <w:r>
        <w:t>к настоящему Порядку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Об указанных обстоятельствах уполномоченный представитель избирательного объединения, кандидат незамедлительно уведомляются письмом</w:t>
      </w:r>
      <w:r w:rsidR="004E1CDA">
        <w:rPr>
          <w:szCs w:val="28"/>
        </w:rPr>
        <w:t xml:space="preserve"> (</w:t>
      </w:r>
      <w:r>
        <w:rPr>
          <w:szCs w:val="28"/>
        </w:rPr>
        <w:t>с приложением одного экземпляра акта</w:t>
      </w:r>
      <w:r w:rsidR="004E1CDA">
        <w:rPr>
          <w:szCs w:val="28"/>
        </w:rPr>
        <w:t xml:space="preserve"> либо телефонограммой</w:t>
      </w:r>
      <w:r>
        <w:rPr>
          <w:szCs w:val="28"/>
        </w:rPr>
        <w:t>.</w:t>
      </w:r>
      <w:proofErr w:type="gramEnd"/>
      <w:r>
        <w:rPr>
          <w:szCs w:val="28"/>
        </w:rPr>
        <w:t xml:space="preserve"> Второй экземпляр акта приобщается к представленным предвыборным агитационным материалам.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>2.5. Сопроводительное письмо вместе с прилагаемыми к нему материалами и документами после его регистрации в соответствии с пунктом 1.3 или пунктом 2.3 настоящего Порядка незамедлительно передается Руководителю Рабочей группы</w:t>
      </w:r>
      <w:r>
        <w:rPr>
          <w:rStyle w:val="a3"/>
          <w:sz w:val="28"/>
          <w:szCs w:val="28"/>
        </w:rPr>
        <w:t xml:space="preserve"> по информационным спорам и иным вопросам информационного обеспечения выборов (далее – Рабочая группа)</w:t>
      </w:r>
      <w:r>
        <w:rPr>
          <w:szCs w:val="28"/>
        </w:rPr>
        <w:t xml:space="preserve">. 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>2.6. </w:t>
      </w:r>
      <w:proofErr w:type="gramStart"/>
      <w:r>
        <w:rPr>
          <w:szCs w:val="28"/>
        </w:rPr>
        <w:t>В</w:t>
      </w:r>
      <w:r w:rsidR="004E1CDA">
        <w:rPr>
          <w:szCs w:val="28"/>
        </w:rPr>
        <w:t xml:space="preserve"> случае представления в Комиссии</w:t>
      </w:r>
      <w:r>
        <w:rPr>
          <w:szCs w:val="28"/>
        </w:rPr>
        <w:t xml:space="preserve"> материалов на внешних носителях (дискеты, оптические компакт-диски CD-R, CD-RW, </w:t>
      </w:r>
      <w:r>
        <w:rPr>
          <w:szCs w:val="28"/>
          <w:lang w:val="en-GB"/>
        </w:rPr>
        <w:t>DVD</w:t>
      </w:r>
      <w:r>
        <w:rPr>
          <w:szCs w:val="28"/>
        </w:rPr>
        <w:t xml:space="preserve"> либо USB </w:t>
      </w:r>
      <w:proofErr w:type="spellStart"/>
      <w:r>
        <w:rPr>
          <w:szCs w:val="28"/>
        </w:rPr>
        <w:t>Flash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Drive</w:t>
      </w:r>
      <w:proofErr w:type="spellEnd"/>
      <w:r>
        <w:rPr>
          <w:szCs w:val="28"/>
        </w:rPr>
        <w:t xml:space="preserve">) зарегистрированное сопроводительное письмо и прилагаемый к нему внешний носитель передаются для осуществления проверки носителя на отсутствие на нем вредоносных программ членом </w:t>
      </w:r>
      <w:r w:rsidR="004E1CDA">
        <w:rPr>
          <w:szCs w:val="28"/>
        </w:rPr>
        <w:t>избирательной комиссии</w:t>
      </w:r>
      <w:r>
        <w:rPr>
          <w:szCs w:val="28"/>
        </w:rPr>
        <w:t xml:space="preserve">, осуществляющим прием экземпляров предвыборных агитационных материалов, </w:t>
      </w:r>
      <w:r>
        <w:t xml:space="preserve">системному администратору КСА ГАС «Выборы», </w:t>
      </w:r>
      <w:r>
        <w:rPr>
          <w:szCs w:val="28"/>
        </w:rPr>
        <w:t>ответственному за осуществление такой проверки.</w:t>
      </w:r>
      <w:proofErr w:type="gramEnd"/>
      <w:r>
        <w:rPr>
          <w:szCs w:val="28"/>
        </w:rPr>
        <w:t xml:space="preserve"> Результаты проверки оформляются актом, который </w:t>
      </w:r>
      <w:proofErr w:type="gramStart"/>
      <w:r>
        <w:rPr>
          <w:szCs w:val="28"/>
        </w:rPr>
        <w:t xml:space="preserve">подписывает </w:t>
      </w:r>
      <w:r>
        <w:t>системный администратор КСА ГАС</w:t>
      </w:r>
      <w:proofErr w:type="gramEnd"/>
      <w:r>
        <w:t xml:space="preserve"> «Выборы»,</w:t>
      </w:r>
      <w:r>
        <w:rPr>
          <w:szCs w:val="28"/>
        </w:rPr>
        <w:t xml:space="preserve"> осуществивший указанную проверку. Если по результатам указанной проверки на соответствующем носителе будет обнаружена вредоносная программа или на носителе не будут обнаружены данные, то вышеуказанный акт составляется в двух экземплярах. Об указанных обстоятельствах уполномоченный представитель избирательного объединения, кандидат незамедлительно уведомляются письмом с приложением одного экземпляра акта. Зарегистрированное сопроводительное письмо с прилагаемым к нему внешним носите</w:t>
      </w:r>
      <w:r w:rsidR="004E1CDA">
        <w:rPr>
          <w:szCs w:val="28"/>
        </w:rPr>
        <w:t>лем и актом передается члену избирательной комиссии</w:t>
      </w:r>
      <w:r>
        <w:rPr>
          <w:szCs w:val="28"/>
        </w:rPr>
        <w:t xml:space="preserve">, осуществляющему прием экземпляров предвыборных агитационных материалов. </w:t>
      </w:r>
    </w:p>
    <w:p w:rsidR="001D3545" w:rsidRDefault="00951BA6">
      <w:pPr>
        <w:pStyle w:val="20"/>
        <w:suppressAutoHyphens/>
        <w:spacing w:before="0"/>
        <w:rPr>
          <w:szCs w:val="28"/>
        </w:rPr>
      </w:pPr>
      <w:r>
        <w:rPr>
          <w:szCs w:val="28"/>
        </w:rPr>
        <w:t xml:space="preserve">2.7. Зарегистрированное сопроводительное письмо вместе с прилагаемыми к нему материалами и документами, а также актом, указанным в пункте 2.6 настоящего Порядка, представляется членом </w:t>
      </w:r>
      <w:r w:rsidR="004E1CDA">
        <w:rPr>
          <w:szCs w:val="28"/>
        </w:rPr>
        <w:t>избирательной комиссии</w:t>
      </w:r>
      <w:r>
        <w:rPr>
          <w:szCs w:val="28"/>
        </w:rPr>
        <w:t xml:space="preserve"> </w:t>
      </w:r>
      <w:r>
        <w:t>руководителю</w:t>
      </w:r>
      <w:r>
        <w:rPr>
          <w:szCs w:val="28"/>
        </w:rPr>
        <w:t xml:space="preserve"> Рабочей группы не позднее чем через четыре часа после регистрации документа.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2.8. О выявленных нарушениях законодательства руководитель Рабочей группы информирует председателя Комиссию или заместителя председателя Комиссии, а также согласовывает вопрос о направлении соответствующего уведомления уполномоченному представителю избирательного объединения, кандидату. Решение о вынесении вопроса на рассмотрение Рабочей группы принимается в порядке, предусмотренном Положением о </w:t>
      </w:r>
      <w:r>
        <w:rPr>
          <w:rStyle w:val="a3"/>
          <w:sz w:val="28"/>
          <w:szCs w:val="28"/>
        </w:rPr>
        <w:t>Рабочей группе по информационным спорам и иным вопросам информационного обеспечения выборов.</w:t>
      </w:r>
      <w:r>
        <w:rPr>
          <w:szCs w:val="28"/>
        </w:rPr>
        <w:t xml:space="preserve"> </w:t>
      </w:r>
    </w:p>
    <w:p w:rsidR="001D3545" w:rsidRDefault="00951BA6">
      <w:pPr>
        <w:pStyle w:val="14"/>
        <w:keepNext/>
        <w:keepLines/>
        <w:widowControl/>
        <w:suppressAutoHyphens/>
        <w:spacing w:before="240" w:after="360"/>
      </w:pPr>
      <w:r>
        <w:t>3. Ввод сведений в задачу «Агитация» ГАС «Выборы»</w:t>
      </w:r>
    </w:p>
    <w:p w:rsidR="001D3545" w:rsidRDefault="00951BA6">
      <w:pPr>
        <w:pStyle w:val="20"/>
        <w:suppressAutoHyphens/>
        <w:spacing w:before="0"/>
      </w:pPr>
      <w:r>
        <w:t>3.1. </w:t>
      </w:r>
      <w:proofErr w:type="gramStart"/>
      <w:r>
        <w:rPr>
          <w:bCs/>
        </w:rPr>
        <w:t xml:space="preserve">После представления в Комиссию </w:t>
      </w:r>
      <w:r>
        <w:t xml:space="preserve">в соответствии с пунктом 3 статьи 54 Федерального закона </w:t>
      </w:r>
      <w:r>
        <w:rPr>
          <w:bCs/>
        </w:rPr>
        <w:t xml:space="preserve">экземпляра (копии) предвыборного </w:t>
      </w:r>
      <w:r>
        <w:t xml:space="preserve">агитационного материала и проверки соблюдения требований Федерального закона при его изготовлении и представлении в Комиссию </w:t>
      </w:r>
      <w:r>
        <w:rPr>
          <w:bCs/>
        </w:rPr>
        <w:t xml:space="preserve">руководитель Рабочей группы дает указание </w:t>
      </w:r>
      <w:r>
        <w:rPr>
          <w:szCs w:val="28"/>
        </w:rPr>
        <w:t xml:space="preserve">ответственному за ввод сведений в задачу </w:t>
      </w:r>
      <w:r>
        <w:rPr>
          <w:bCs/>
          <w:szCs w:val="28"/>
        </w:rPr>
        <w:t xml:space="preserve">«Агитация» </w:t>
      </w:r>
      <w:r>
        <w:rPr>
          <w:bCs/>
        </w:rPr>
        <w:t>ввести в задачу «Агитация» ГАС «Выборы» сведения о представленных в Комиссию предвыборных агитационных материалах, отвечающих требованиям пунктов</w:t>
      </w:r>
      <w:proofErr w:type="gramEnd"/>
      <w:r>
        <w:rPr>
          <w:bCs/>
        </w:rPr>
        <w:t xml:space="preserve"> 2–3 статьи 54 Федерального закона.</w:t>
      </w:r>
    </w:p>
    <w:p w:rsidR="001D3545" w:rsidRDefault="00951BA6">
      <w:pPr>
        <w:pStyle w:val="20"/>
        <w:suppressAutoHyphens/>
        <w:spacing w:before="0"/>
        <w:rPr>
          <w:bCs/>
        </w:rPr>
      </w:pPr>
      <w:r>
        <w:rPr>
          <w:bCs/>
        </w:rPr>
        <w:t>3.2. </w:t>
      </w:r>
      <w:proofErr w:type="gramStart"/>
      <w:r>
        <w:rPr>
          <w:bCs/>
        </w:rPr>
        <w:t xml:space="preserve">Сведения о представленных в Комиссию предвыборных агитационных материалах вводятся в порядке и сроки, установленные </w:t>
      </w:r>
      <w:r>
        <w:t xml:space="preserve">Регламентом использования Государственной автоматизированной системы Российской Федерации «Выборы» для контроля за соблюдением установленного порядка проведения </w:t>
      </w:r>
      <w:r>
        <w:rPr>
          <w:bCs/>
        </w:rPr>
        <w:t xml:space="preserve">предвыборной агитации, агитации при проведении референдума, утвержденным постановлением </w:t>
      </w:r>
      <w:r>
        <w:t>Центральной избирательной комиссии Российской Федерации от 14 февраля 2013 года № 161/1192-6, с изменениями, внесенными постановлениями ЦИК России от 27.05.2014 № 232/1475-6 и</w:t>
      </w:r>
      <w:proofErr w:type="gramEnd"/>
      <w:r>
        <w:t xml:space="preserve"> от 26.05.2015 № 284/1672-6, от 29.03.2017 № 78/684-7.</w:t>
      </w:r>
    </w:p>
    <w:p w:rsidR="001D3545" w:rsidRDefault="00951BA6">
      <w:pPr>
        <w:pStyle w:val="14"/>
        <w:keepNext/>
        <w:keepLines/>
        <w:suppressAutoHyphens/>
        <w:spacing w:before="240" w:after="360"/>
      </w:pPr>
      <w:r>
        <w:t xml:space="preserve">4. Учет и хранение предвыборных агитационных материалов, </w:t>
      </w:r>
      <w:r>
        <w:br/>
        <w:t>представляемых в Комиссии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>4.1. </w:t>
      </w:r>
      <w:proofErr w:type="gramStart"/>
      <w:r>
        <w:rPr>
          <w:szCs w:val="28"/>
        </w:rPr>
        <w:t xml:space="preserve">Учет предвыборных агитационных материалов и представляемых одновременно с ними документов осуществляется в Рабочей группе отдельно для каждого избирательного объединения, выдвинувшего список кандидатов, каждого кандидата по указанной в приложении № 2 к настоящему Порядку форме (в машиночитаемом виде и </w:t>
      </w:r>
      <w:r w:rsidR="007E4E6E">
        <w:rPr>
          <w:szCs w:val="28"/>
        </w:rPr>
        <w:t>на бумажном носителе) членом избирательной комиссии</w:t>
      </w:r>
      <w:r>
        <w:rPr>
          <w:szCs w:val="28"/>
        </w:rPr>
        <w:t xml:space="preserve">, осуществляющим учет, систематизацию, хранение предвыборных агитационных материалов, представленных в Комиссию. </w:t>
      </w:r>
      <w:proofErr w:type="gramEnd"/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4.2. Форма учета предвыборного агитационного материала может формироваться с помощью программно-технических средств </w:t>
      </w:r>
      <w:r>
        <w:rPr>
          <w:bCs/>
          <w:szCs w:val="28"/>
        </w:rPr>
        <w:t>задачи «Агитация» ГАС «Выборы».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>4.3. Экземпляры предвыборных агитационных материалов и представляемые одновременно с ни</w:t>
      </w:r>
      <w:r w:rsidR="007E4E6E">
        <w:rPr>
          <w:szCs w:val="28"/>
        </w:rPr>
        <w:t xml:space="preserve">ми документы выдаются членом избирательной комиссии </w:t>
      </w:r>
      <w:r>
        <w:rPr>
          <w:szCs w:val="28"/>
        </w:rPr>
        <w:t xml:space="preserve">под роспись ответственному за ввод сведений в задачу </w:t>
      </w:r>
      <w:r>
        <w:rPr>
          <w:bCs/>
          <w:szCs w:val="28"/>
        </w:rPr>
        <w:t xml:space="preserve">«Агитация» ГАС «Выборы» </w:t>
      </w:r>
      <w:r>
        <w:rPr>
          <w:szCs w:val="28"/>
        </w:rPr>
        <w:t xml:space="preserve">на период, необходимый для такого размещения. Повторная выдача указанных материалов и документов, а равно их выдача иному лицу возможна под роспись и только по указанию Руководителя Рабочей группы. Перед окончанием рабочего дня документы и материалы возвращаются члену </w:t>
      </w:r>
      <w:r w:rsidR="00BC1536">
        <w:rPr>
          <w:szCs w:val="28"/>
        </w:rPr>
        <w:t>избирательной комиссии</w:t>
      </w:r>
      <w:r>
        <w:rPr>
          <w:szCs w:val="28"/>
        </w:rPr>
        <w:t xml:space="preserve">. 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4.4. Экземпляры предвыборных агитационных материалов и представляемых одновременно с ними документов вместе с заключениями, указанными в пункте 2.7, и актами, указанными в пунктах 2.4 и 2.6, а также формы учета, указанные в пунктах 4.1 и 4.2 настоящего Порядка, хранятся у Руководителя Рабочей группы. Доступ к подлинникам указанных материалов и документов осуществляется с разрешения Руководителя Рабочей группы. 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>4.5. После официального опубликования результатов выборов в органы местного самоуправления документы, указанные в пункте 4.5 настоящего Порядка, передаются в архив в соответствии с Порядком хранения и передачи в архивы документов, связанных с подготовкой и проведением выборов в органы местного самоуправления в Архангельской области.</w:t>
      </w:r>
    </w:p>
    <w:p w:rsidR="001D3545" w:rsidRDefault="00951BA6">
      <w:pPr>
        <w:pStyle w:val="14"/>
        <w:keepNext/>
        <w:keepLines/>
        <w:widowControl/>
        <w:suppressAutoHyphens/>
        <w:spacing w:before="240" w:after="360"/>
        <w:ind w:left="567" w:right="567"/>
      </w:pPr>
      <w:r>
        <w:t xml:space="preserve">5. Организация проверки представленных агитационных материалов на соответствие требованиям законодательства </w:t>
      </w:r>
      <w:r>
        <w:br/>
        <w:t>о финансировании избирательных кампаний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5.1. Для проведения проверки оплаты предвыборного агитационного материала из средств соответствующего избирательного фонда в Контрольно-ревизионную службу Комиссию (далее – КРС) передается компьютерная распечатка информации (либо </w:t>
      </w:r>
      <w:r>
        <w:t xml:space="preserve">отчета из задачи «Агитация» ГАС «Выборы» с информацией) </w:t>
      </w:r>
      <w:r>
        <w:rPr>
          <w:szCs w:val="28"/>
        </w:rPr>
        <w:t xml:space="preserve">о представленных в Комиссию предвыборных агитационных материалах по форме, указанной в приложении № 2 к настоящему Порядку. Вместе с указанной распечаткой в КРС передается </w:t>
      </w:r>
      <w:r>
        <w:rPr>
          <w:rFonts w:eastAsia="Calibri"/>
          <w:szCs w:val="28"/>
          <w:lang w:eastAsia="en-US"/>
        </w:rPr>
        <w:t>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«Сбербанк России» (иной кредитной организации).</w:t>
      </w:r>
    </w:p>
    <w:p w:rsidR="001D3545" w:rsidRDefault="00951BA6">
      <w:pPr>
        <w:pStyle w:val="20"/>
        <w:suppressAutoHyphens/>
        <w:spacing w:before="0"/>
      </w:pPr>
      <w:r>
        <w:rPr>
          <w:szCs w:val="28"/>
        </w:rPr>
        <w:t xml:space="preserve">В случае необходимости в КРС могут передаваться копии предвыборных агитационных материалов или их электронные образы (при наличии). </w:t>
      </w:r>
    </w:p>
    <w:p w:rsidR="001D3545" w:rsidRDefault="00951BA6">
      <w:pPr>
        <w:pStyle w:val="20"/>
        <w:suppressAutoHyphens/>
        <w:spacing w:before="0"/>
        <w:rPr>
          <w:szCs w:val="28"/>
        </w:rPr>
      </w:pPr>
      <w:r>
        <w:rPr>
          <w:szCs w:val="28"/>
        </w:rPr>
        <w:t xml:space="preserve">5.2. КРС в течение дня с момента получения необходимой информации из учета агитационных материалов осуществляет проверку оплаты изготовления данных агитационных материалов из средств соответствующего избирательного фонда. </w:t>
      </w:r>
      <w:proofErr w:type="gramStart"/>
      <w:r>
        <w:rPr>
          <w:szCs w:val="28"/>
        </w:rPr>
        <w:t>В случае представления в Комиссию в течение одного рабочего дня большого количества агитационных материалов срок проведения указанной проверки по данным материалам по решению</w:t>
      </w:r>
      <w:proofErr w:type="gramEnd"/>
      <w:r>
        <w:rPr>
          <w:szCs w:val="28"/>
        </w:rPr>
        <w:t xml:space="preserve"> Руководителя рабочей группы </w:t>
      </w:r>
      <w:r>
        <w:rPr>
          <w:rStyle w:val="a3"/>
          <w:sz w:val="28"/>
          <w:szCs w:val="28"/>
        </w:rPr>
        <w:t xml:space="preserve">может быть продлен, но не более чем до 12.00 следующего дня. </w:t>
      </w:r>
      <w:r>
        <w:rPr>
          <w:szCs w:val="28"/>
        </w:rPr>
        <w:t xml:space="preserve">Руководитель КРС информирует члена </w:t>
      </w:r>
      <w:r w:rsidR="007E4E6E">
        <w:rPr>
          <w:szCs w:val="28"/>
        </w:rPr>
        <w:t>избирательной комиссии</w:t>
      </w:r>
      <w:r>
        <w:rPr>
          <w:szCs w:val="28"/>
        </w:rPr>
        <w:t xml:space="preserve"> о результатах проверки, проведенной КРС, и вносит соответствующую запись в форму внутреннего учета (на бумажном носителе). В случае отсутствия на момент проведения проверки в задаче «Контроль избирательных фондов» ГАС «Выборы» сведений о списании соответствующих денежных сре</w:t>
      </w:r>
      <w:proofErr w:type="gramStart"/>
      <w:r>
        <w:rPr>
          <w:szCs w:val="28"/>
        </w:rPr>
        <w:t>дств в ф</w:t>
      </w:r>
      <w:proofErr w:type="gramEnd"/>
      <w:r>
        <w:rPr>
          <w:szCs w:val="28"/>
        </w:rPr>
        <w:t xml:space="preserve">орму внутреннего учета вносится запись «Сведения об </w:t>
      </w:r>
      <w:r>
        <w:rPr>
          <w:bCs/>
          <w:szCs w:val="28"/>
        </w:rPr>
        <w:t>оплате изготовления отсутствуют» либо запись «</w:t>
      </w:r>
      <w:r>
        <w:rPr>
          <w:szCs w:val="28"/>
        </w:rPr>
        <w:t>Сведения о списании средств за __ ___ 201</w:t>
      </w:r>
      <w:r w:rsidR="007E4E6E">
        <w:rPr>
          <w:szCs w:val="28"/>
        </w:rPr>
        <w:t>8</w:t>
      </w:r>
      <w:r>
        <w:rPr>
          <w:szCs w:val="28"/>
        </w:rPr>
        <w:t xml:space="preserve"> г. не поступали» с указанием даты соответствующего платежного документа. В этом случае, а также в случае выявления нарушения член </w:t>
      </w:r>
      <w:r w:rsidR="007E4E6E">
        <w:rPr>
          <w:szCs w:val="28"/>
        </w:rPr>
        <w:t>избирательной комиссии</w:t>
      </w:r>
      <w:r>
        <w:rPr>
          <w:szCs w:val="28"/>
        </w:rPr>
        <w:t xml:space="preserve"> или руководитель КРС незамедлительно докладывает об эт</w:t>
      </w:r>
      <w:r w:rsidR="007E4E6E">
        <w:rPr>
          <w:szCs w:val="28"/>
        </w:rPr>
        <w:t>ом руководителю Рабочей группы.</w:t>
      </w:r>
      <w:r>
        <w:rPr>
          <w:szCs w:val="28"/>
        </w:rPr>
        <w:t xml:space="preserve"> Руководитель Рабочей группы информирует председателя Комиссии или заместителя председателя Комиссии и решает вопрос о принятии дальнейших мер в связи с выявленными нарушениями.</w:t>
      </w:r>
    </w:p>
    <w:p w:rsidR="001D3545" w:rsidRDefault="00951BA6" w:rsidP="007E4E6E">
      <w:pPr>
        <w:pStyle w:val="20"/>
        <w:suppressAutoHyphens/>
        <w:spacing w:before="0"/>
        <w:rPr>
          <w:szCs w:val="28"/>
        </w:rPr>
        <w:sectPr w:rsidR="001D3545" w:rsidSect="00A16BE6">
          <w:headerReference w:type="first" r:id="rId8"/>
          <w:pgSz w:w="11906" w:h="16838" w:code="9"/>
          <w:pgMar w:top="1134" w:right="851" w:bottom="1134" w:left="1701" w:header="624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5.3. Член </w:t>
      </w:r>
      <w:r w:rsidR="007E4E6E">
        <w:rPr>
          <w:szCs w:val="28"/>
        </w:rPr>
        <w:t>избирательной комиссии</w:t>
      </w:r>
      <w:r>
        <w:rPr>
          <w:szCs w:val="28"/>
        </w:rPr>
        <w:t xml:space="preserve">, получивший информацию из участковой избирательной комиссии о факте распространения на соответствующей территории агитационного материала, не представленного в Комиссию, а также информацию об изменении выходных данных представленного агитационного материала, </w:t>
      </w:r>
      <w:r>
        <w:t>обнаружении иных оснований, не допускающих распространение</w:t>
      </w:r>
      <w:r>
        <w:rPr>
          <w:szCs w:val="28"/>
        </w:rPr>
        <w:t xml:space="preserve"> агитационного материала, незамедлительно сообщает об этом непосредственно р</w:t>
      </w:r>
      <w:r w:rsidR="007E4E6E">
        <w:rPr>
          <w:szCs w:val="28"/>
        </w:rPr>
        <w:t xml:space="preserve">уководителю Рабочей группы либо </w:t>
      </w:r>
      <w:r>
        <w:rPr>
          <w:szCs w:val="28"/>
        </w:rPr>
        <w:t xml:space="preserve">секретарю Комиссии. </w:t>
      </w:r>
    </w:p>
    <w:p w:rsidR="001D3545" w:rsidRDefault="00951BA6">
      <w:pPr>
        <w:pStyle w:val="14-15"/>
        <w:suppressAutoHyphens/>
        <w:spacing w:line="240" w:lineRule="auto"/>
        <w:ind w:left="5245"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D3545" w:rsidRPr="00BC1536" w:rsidRDefault="00951BA6">
      <w:pPr>
        <w:pStyle w:val="14-15"/>
        <w:suppressAutoHyphens/>
        <w:spacing w:line="240" w:lineRule="auto"/>
        <w:ind w:left="5245" w:firstLine="0"/>
        <w:jc w:val="center"/>
        <w:rPr>
          <w:sz w:val="22"/>
        </w:rPr>
      </w:pPr>
      <w:r>
        <w:rPr>
          <w:sz w:val="22"/>
          <w:szCs w:val="22"/>
        </w:rPr>
        <w:t xml:space="preserve">к Порядку </w:t>
      </w:r>
      <w:r>
        <w:rPr>
          <w:sz w:val="22"/>
        </w:rPr>
        <w:t>приема, учета, анализа, обработки и хранения в избирательной комиссии</w:t>
      </w:r>
      <w:r w:rsidR="007E4E6E">
        <w:rPr>
          <w:sz w:val="22"/>
        </w:rPr>
        <w:t xml:space="preserve"> муниципального образования «Город Архангельск, территориальных избирательных комиссиях города Архангельска </w:t>
      </w:r>
      <w:r w:rsidR="00BC1536">
        <w:rPr>
          <w:sz w:val="22"/>
        </w:rPr>
        <w:t xml:space="preserve"> </w:t>
      </w:r>
      <w:r>
        <w:rPr>
          <w:sz w:val="22"/>
        </w:rPr>
        <w:t xml:space="preserve">предвыборных агитационных материалов и </w:t>
      </w:r>
      <w:r>
        <w:rPr>
          <w:sz w:val="22"/>
          <w:szCs w:val="28"/>
        </w:rPr>
        <w:t>представляемых одновременно с ними</w:t>
      </w:r>
      <w:r>
        <w:rPr>
          <w:sz w:val="22"/>
        </w:rPr>
        <w:t xml:space="preserve"> документов в период избирательной кампании по выборам </w:t>
      </w:r>
      <w:r w:rsidR="00BC1536">
        <w:rPr>
          <w:sz w:val="22"/>
        </w:rPr>
        <w:t>депутатов Архангельской городской Думы двадцать седьмого созыва</w:t>
      </w:r>
    </w:p>
    <w:p w:rsidR="001D3545" w:rsidRDefault="001D3545">
      <w:pPr>
        <w:spacing w:line="360" w:lineRule="auto"/>
        <w:rPr>
          <w:b/>
          <w:bCs/>
          <w:color w:val="000000"/>
          <w:sz w:val="24"/>
          <w:szCs w:val="28"/>
        </w:rPr>
      </w:pPr>
    </w:p>
    <w:p w:rsidR="001D3545" w:rsidRDefault="00951BA6">
      <w:pPr>
        <w:spacing w:line="36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АКТ</w:t>
      </w:r>
    </w:p>
    <w:p w:rsidR="001D3545" w:rsidRDefault="00951BA6">
      <w:pPr>
        <w:pStyle w:val="Default"/>
        <w:ind w:firstLine="540"/>
        <w:jc w:val="both"/>
      </w:pPr>
      <w:r>
        <w:rPr>
          <w:sz w:val="28"/>
          <w:szCs w:val="28"/>
        </w:rPr>
        <w:t>Мы, нижеподписавшиеся</w:t>
      </w:r>
      <w:r>
        <w:rPr>
          <w:szCs w:val="28"/>
        </w:rPr>
        <w:t xml:space="preserve"> </w:t>
      </w:r>
    </w:p>
    <w:p w:rsidR="001D3545" w:rsidRDefault="00951BA6">
      <w:pPr>
        <w:pStyle w:val="Default"/>
        <w:jc w:val="center"/>
      </w:pPr>
      <w:r>
        <w:rPr>
          <w:szCs w:val="28"/>
        </w:rPr>
        <w:t>____________________________________________________________________________</w:t>
      </w:r>
      <w:r>
        <w:rPr>
          <w:sz w:val="28"/>
          <w:szCs w:val="28"/>
        </w:rPr>
        <w:t xml:space="preserve">, </w:t>
      </w:r>
      <w:r>
        <w:rPr>
          <w:sz w:val="18"/>
          <w:szCs w:val="18"/>
        </w:rPr>
        <w:t>(должность, фамилия, имя и отчество)</w:t>
      </w:r>
    </w:p>
    <w:p w:rsidR="001D3545" w:rsidRDefault="00951BA6">
      <w:pPr>
        <w:pStyle w:val="Default"/>
        <w:jc w:val="center"/>
      </w:pPr>
      <w:r>
        <w:rPr>
          <w:sz w:val="28"/>
          <w:szCs w:val="28"/>
        </w:rPr>
        <w:t xml:space="preserve">_________________________________________________________________, </w:t>
      </w:r>
      <w:r>
        <w:rPr>
          <w:sz w:val="18"/>
          <w:szCs w:val="18"/>
        </w:rPr>
        <w:t>(должность, фамилия, имя и отчество)</w:t>
      </w:r>
    </w:p>
    <w:p w:rsidR="001D3545" w:rsidRDefault="00951BA6">
      <w:pPr>
        <w:pStyle w:val="Default"/>
        <w:jc w:val="center"/>
      </w:pPr>
      <w:r>
        <w:rPr>
          <w:sz w:val="28"/>
          <w:szCs w:val="28"/>
        </w:rPr>
        <w:t xml:space="preserve">_________________________________________________________________, </w:t>
      </w:r>
      <w:r>
        <w:rPr>
          <w:sz w:val="18"/>
          <w:szCs w:val="18"/>
        </w:rPr>
        <w:t>(должность, фамилия, имя и отчество)</w:t>
      </w:r>
    </w:p>
    <w:p w:rsidR="001D3545" w:rsidRDefault="00951BA6">
      <w:pPr>
        <w:pStyle w:val="Default"/>
        <w:spacing w:line="360" w:lineRule="auto"/>
        <w:jc w:val="both"/>
      </w:pPr>
      <w:proofErr w:type="gramStart"/>
      <w:r>
        <w:rPr>
          <w:sz w:val="28"/>
          <w:szCs w:val="28"/>
        </w:rPr>
        <w:t>составили акт о том, что «______» __________________ 201</w:t>
      </w:r>
      <w:r w:rsidR="00BC1536">
        <w:rPr>
          <w:sz w:val="28"/>
          <w:szCs w:val="28"/>
        </w:rPr>
        <w:t>8</w:t>
      </w:r>
      <w:r>
        <w:rPr>
          <w:sz w:val="28"/>
          <w:szCs w:val="28"/>
        </w:rPr>
        <w:t xml:space="preserve"> г. при приеме сопроводительного письма с прилагаемыми к нему экземплярами (копиями, фотографиями) предвыборных агитационных материалов (извлечении материалов и документов из пакета) поступившего в ________________ избирательную комиссию от избирательного объединения / кандидата ______________________________________________________ выявлено несоответствие сведений о материалах, указанных в сопроводительном письме, приложенных к нему предвыборным агитационным материалам, а именно:</w:t>
      </w:r>
      <w:proofErr w:type="gramEnd"/>
    </w:p>
    <w:p w:rsidR="001D3545" w:rsidRDefault="00951BA6">
      <w:pPr>
        <w:pStyle w:val="Default"/>
        <w:spacing w:line="360" w:lineRule="auto"/>
        <w:jc w:val="both"/>
      </w:pPr>
      <w:r>
        <w:rPr>
          <w:sz w:val="28"/>
          <w:szCs w:val="28"/>
        </w:rPr>
        <w:t xml:space="preserve"> ______________________________________________________________</w:t>
      </w:r>
    </w:p>
    <w:p w:rsidR="001D3545" w:rsidRDefault="00951B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D3545" w:rsidRDefault="00951B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D3545" w:rsidRDefault="00951BA6">
      <w:pPr>
        <w:spacing w:line="360" w:lineRule="auto"/>
        <w:ind w:firstLine="748"/>
        <w:jc w:val="both"/>
        <w:rPr>
          <w:color w:val="000000"/>
          <w:szCs w:val="28"/>
        </w:rPr>
      </w:pPr>
      <w:r>
        <w:rPr>
          <w:color w:val="000000"/>
          <w:szCs w:val="28"/>
        </w:rPr>
        <w:t>Настоящий акт составлен в двух экземплярах.</w:t>
      </w:r>
    </w:p>
    <w:p w:rsidR="001D3545" w:rsidRDefault="001D3545">
      <w:pPr>
        <w:spacing w:line="360" w:lineRule="auto"/>
        <w:ind w:firstLine="748"/>
        <w:jc w:val="both"/>
        <w:rPr>
          <w:b/>
          <w:bCs/>
          <w:color w:val="000000"/>
          <w:szCs w:val="28"/>
        </w:rPr>
      </w:pPr>
    </w:p>
    <w:p w:rsidR="001D3545" w:rsidRDefault="001D3545">
      <w:pPr>
        <w:spacing w:line="360" w:lineRule="auto"/>
        <w:ind w:firstLine="748"/>
        <w:jc w:val="both"/>
        <w:rPr>
          <w:b/>
          <w:bCs/>
          <w:color w:val="000000"/>
          <w:szCs w:val="28"/>
        </w:rPr>
      </w:pPr>
    </w:p>
    <w:p w:rsidR="001D3545" w:rsidRDefault="00951BA6">
      <w:pPr>
        <w:spacing w:line="360" w:lineRule="auto"/>
        <w:ind w:firstLine="748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Подписи: _________________</w:t>
      </w:r>
    </w:p>
    <w:p w:rsidR="001D3545" w:rsidRDefault="00951BA6">
      <w:pPr>
        <w:tabs>
          <w:tab w:val="left" w:pos="1980"/>
        </w:tabs>
        <w:spacing w:line="360" w:lineRule="auto"/>
        <w:ind w:firstLine="748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__________________</w:t>
      </w:r>
    </w:p>
    <w:p w:rsidR="001D3545" w:rsidRDefault="001D3545">
      <w:pPr>
        <w:pStyle w:val="20"/>
        <w:suppressAutoHyphens/>
        <w:ind w:firstLine="0"/>
        <w:rPr>
          <w:b/>
          <w:bCs/>
          <w:color w:val="000000"/>
          <w:szCs w:val="28"/>
        </w:rPr>
        <w:sectPr w:rsidR="001D3545">
          <w:headerReference w:type="default" r:id="rId9"/>
          <w:headerReference w:type="first" r:id="rId10"/>
          <w:pgSz w:w="11906" w:h="16838"/>
          <w:pgMar w:top="1134" w:right="850" w:bottom="1134" w:left="1701" w:header="624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8091"/>
        <w:gridCol w:w="14576"/>
      </w:tblGrid>
      <w:tr w:rsidR="001D3545">
        <w:tc>
          <w:tcPr>
            <w:tcW w:w="8014" w:type="dxa"/>
            <w:shd w:val="clear" w:color="auto" w:fill="auto"/>
          </w:tcPr>
          <w:p w:rsidR="001D3545" w:rsidRDefault="001D3545">
            <w:pPr>
              <w:pStyle w:val="14-15"/>
              <w:suppressAutoHyphens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37" w:type="dxa"/>
            <w:shd w:val="clear" w:color="auto" w:fill="auto"/>
          </w:tcPr>
          <w:p w:rsidR="00BC1536" w:rsidRDefault="00951BA6">
            <w:pPr>
              <w:pStyle w:val="14-15"/>
              <w:suppressAutoHyphens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Приложение № 2 </w:t>
            </w:r>
            <w:r>
              <w:rPr>
                <w:sz w:val="24"/>
              </w:rPr>
              <w:br/>
              <w:t xml:space="preserve">к Порядку приема, учета, анализа, обработки и хранения в ________________ территориальной избирательной комиссии </w:t>
            </w:r>
          </w:p>
          <w:p w:rsidR="00BC1536" w:rsidRDefault="00BC1536">
            <w:pPr>
              <w:pStyle w:val="14-15"/>
              <w:suppressAutoHyphens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2"/>
              </w:rPr>
              <w:t>в избирательной комиссии муниципального образования «Город Архангельск, территориальных избирательных комиссиях города Архангельска</w:t>
            </w:r>
          </w:p>
          <w:p w:rsidR="001D3545" w:rsidRDefault="00951BA6" w:rsidP="00BC1536">
            <w:pPr>
              <w:pStyle w:val="14-15"/>
              <w:suppressAutoHyphens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предвыборных агитационных материалов и представляемых одновременно с ними документов в период избирательной кампании по выборам </w:t>
            </w:r>
            <w:r w:rsidR="00BC1536">
              <w:rPr>
                <w:sz w:val="24"/>
              </w:rPr>
              <w:t>депутатов Архангельской городской Думы двадцать седьмого созыва</w:t>
            </w:r>
          </w:p>
        </w:tc>
      </w:tr>
    </w:tbl>
    <w:p w:rsidR="001D3545" w:rsidRDefault="001D3545">
      <w:pPr>
        <w:pStyle w:val="14-15"/>
        <w:suppressAutoHyphens/>
        <w:spacing w:line="240" w:lineRule="auto"/>
        <w:ind w:left="6804" w:firstLine="0"/>
        <w:jc w:val="center"/>
        <w:rPr>
          <w:sz w:val="22"/>
          <w:szCs w:val="22"/>
        </w:rPr>
      </w:pPr>
    </w:p>
    <w:p w:rsidR="001D3545" w:rsidRDefault="00951BA6">
      <w:pPr>
        <w:pStyle w:val="Style10"/>
        <w:widowControl/>
        <w:suppressAutoHyphens/>
        <w:spacing w:line="400" w:lineRule="exact"/>
        <w:ind w:firstLine="2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предвыборных агитационных материалов</w:t>
      </w:r>
    </w:p>
    <w:p w:rsidR="001D3545" w:rsidRDefault="001D3545">
      <w:pPr>
        <w:pStyle w:val="Style10"/>
        <w:widowControl/>
        <w:suppressAutoHyphens/>
        <w:spacing w:line="240" w:lineRule="auto"/>
        <w:ind w:firstLine="210"/>
        <w:jc w:val="center"/>
        <w:rPr>
          <w:b/>
          <w:sz w:val="28"/>
          <w:szCs w:val="28"/>
        </w:rPr>
      </w:pPr>
    </w:p>
    <w:tbl>
      <w:tblPr>
        <w:tblW w:w="226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05"/>
        <w:gridCol w:w="1462"/>
        <w:gridCol w:w="1226"/>
        <w:gridCol w:w="1326"/>
        <w:gridCol w:w="1266"/>
        <w:gridCol w:w="1324"/>
        <w:gridCol w:w="1228"/>
        <w:gridCol w:w="656"/>
        <w:gridCol w:w="784"/>
        <w:gridCol w:w="1028"/>
        <w:gridCol w:w="729"/>
        <w:gridCol w:w="968"/>
        <w:gridCol w:w="1298"/>
        <w:gridCol w:w="1135"/>
        <w:gridCol w:w="1139"/>
        <w:gridCol w:w="1133"/>
        <w:gridCol w:w="1292"/>
        <w:gridCol w:w="1596"/>
        <w:gridCol w:w="1073"/>
        <w:gridCol w:w="1412"/>
      </w:tblGrid>
      <w:tr w:rsidR="001D354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271A8F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 xml:space="preserve">Вход. № </w:t>
            </w:r>
            <w:r w:rsidR="00951BA6"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>ИК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>Внутренний</w:t>
            </w:r>
            <w:proofErr w:type="gramEnd"/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 xml:space="preserve"> регистрационный № агитационного материала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BC1536" w:rsidP="00BC1536">
            <w:pPr>
              <w:pStyle w:val="14-15"/>
              <w:suppressAutoHyphens/>
              <w:spacing w:line="240" w:lineRule="auto"/>
              <w:ind w:firstLine="0"/>
              <w:jc w:val="center"/>
              <w:rPr>
                <w:rFonts w:ascii="Arial Narrow" w:hAnsi="Arial Narrow" w:cs="Arial Narrow"/>
                <w:bCs/>
                <w:sz w:val="18"/>
                <w:szCs w:val="18"/>
              </w:rPr>
            </w:pPr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>Фамилия члена ИК</w:t>
            </w:r>
            <w:r w:rsidR="00951BA6"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>, принявшего агитационный материал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Участник избирательного процесса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Дата представления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Описание (наименование)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Вид агитационного материала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Тираж (шт.)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Дата выпуска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Номер платежного документа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Дата оплаты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Стоимость тиража (</w:t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Наименование/ ФИО изготовителя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Адрес изготовителя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Субъект РФ изготовителя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ИНН изготовителя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Согласие лица (лиц) на использование высказываний (ФИО)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Результаты проверки </w:t>
            </w:r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 xml:space="preserve">оплаты изготовления предвыборных агитационных материалов </w:t>
            </w:r>
            <w:r>
              <w:rPr>
                <w:rFonts w:ascii="Arial Narrow" w:hAnsi="Arial Narrow" w:cs="Arial Narrow"/>
                <w:sz w:val="18"/>
                <w:szCs w:val="18"/>
              </w:rPr>
              <w:t>из средств соответствующего избирательного фонда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Время и дата завершения проверки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AF4"/>
            <w:vAlign w:val="center"/>
          </w:tcPr>
          <w:p w:rsidR="001D3545" w:rsidRDefault="00951BA6">
            <w:pPr>
              <w:suppressAutoHyphens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Style w:val="FontStyle14"/>
                <w:rFonts w:ascii="Arial Narrow" w:hAnsi="Arial Narrow" w:cs="Arial Narrow"/>
                <w:b w:val="0"/>
                <w:sz w:val="18"/>
                <w:szCs w:val="18"/>
              </w:rPr>
              <w:t>Подпись члена КРС Комиссии, осуществившего проверку</w:t>
            </w:r>
            <w:r>
              <w:rPr>
                <w:rStyle w:val="FootnoteAnchor"/>
                <w:rFonts w:ascii="Arial Narrow" w:hAnsi="Arial Narrow" w:cs="Arial Narrow"/>
                <w:bCs/>
                <w:sz w:val="18"/>
                <w:szCs w:val="18"/>
              </w:rPr>
              <w:footnoteReference w:id="1"/>
            </w:r>
          </w:p>
        </w:tc>
      </w:tr>
      <w:tr w:rsidR="001D354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rStyle w:val="FontStyle14"/>
                <w:b w:val="0"/>
                <w:sz w:val="23"/>
                <w:szCs w:val="16"/>
              </w:rPr>
            </w:pPr>
            <w:r>
              <w:rPr>
                <w:rStyle w:val="FontStyle14"/>
                <w:b w:val="0"/>
                <w:sz w:val="23"/>
                <w:szCs w:val="16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rStyle w:val="FontStyle14"/>
                <w:b w:val="0"/>
                <w:sz w:val="23"/>
                <w:szCs w:val="16"/>
              </w:rPr>
            </w:pPr>
            <w:r>
              <w:rPr>
                <w:rStyle w:val="FontStyle14"/>
                <w:b w:val="0"/>
                <w:sz w:val="23"/>
                <w:szCs w:val="16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pStyle w:val="14-15"/>
              <w:spacing w:line="240" w:lineRule="auto"/>
              <w:ind w:firstLine="0"/>
              <w:jc w:val="center"/>
              <w:rPr>
                <w:rStyle w:val="FontStyle14"/>
                <w:b w:val="0"/>
                <w:sz w:val="23"/>
                <w:szCs w:val="16"/>
              </w:rPr>
            </w:pPr>
            <w:r>
              <w:rPr>
                <w:rStyle w:val="FontStyle14"/>
                <w:b w:val="0"/>
                <w:sz w:val="23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545" w:rsidRDefault="00951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D3545">
        <w:trPr>
          <w:cantSplit/>
          <w:trHeight w:val="9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D3545" w:rsidRDefault="001D3545">
            <w:pPr>
              <w:snapToGrid w:val="0"/>
              <w:ind w:left="113" w:right="11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D3545" w:rsidRDefault="001D3545">
      <w:pPr>
        <w:pStyle w:val="14-15"/>
        <w:suppressAutoHyphens/>
        <w:spacing w:line="240" w:lineRule="auto"/>
        <w:ind w:left="6804" w:firstLine="0"/>
        <w:jc w:val="center"/>
      </w:pPr>
    </w:p>
    <w:sectPr w:rsidR="001D3545">
      <w:headerReference w:type="default" r:id="rId11"/>
      <w:headerReference w:type="first" r:id="rId12"/>
      <w:footnotePr>
        <w:numRestart w:val="eachPage"/>
      </w:footnotePr>
      <w:pgSz w:w="23811" w:h="16838" w:orient="landscape"/>
      <w:pgMar w:top="1588" w:right="680" w:bottom="567" w:left="680" w:header="62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09" w:rsidRDefault="006B2609">
      <w:r>
        <w:separator/>
      </w:r>
    </w:p>
  </w:endnote>
  <w:endnote w:type="continuationSeparator" w:id="0">
    <w:p w:rsidR="006B2609" w:rsidRDefault="006B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09" w:rsidRDefault="006B2609">
      <w:r>
        <w:separator/>
      </w:r>
    </w:p>
  </w:footnote>
  <w:footnote w:type="continuationSeparator" w:id="0">
    <w:p w:rsidR="006B2609" w:rsidRDefault="006B2609">
      <w:r>
        <w:continuationSeparator/>
      </w:r>
    </w:p>
  </w:footnote>
  <w:footnote w:id="1">
    <w:p w:rsidR="001D3545" w:rsidRDefault="00951BA6">
      <w:pPr>
        <w:pStyle w:val="ac"/>
        <w:ind w:firstLine="567"/>
      </w:pPr>
      <w:r>
        <w:rPr>
          <w:rStyle w:val="FootnoteCharacters"/>
        </w:rPr>
        <w:footnoteRef/>
      </w:r>
      <w:r>
        <w:tab/>
        <w:t xml:space="preserve"> В машиночитаемом виде указываются фамилия и инициалы </w:t>
      </w:r>
      <w:r>
        <w:rPr>
          <w:rStyle w:val="FontStyle14"/>
          <w:b w:val="0"/>
        </w:rPr>
        <w:t>члена КРС Комиссии.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45" w:rsidRDefault="001D3545">
    <w:pPr>
      <w:pStyle w:val="a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45" w:rsidRDefault="001D354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45" w:rsidRDefault="001D3545">
    <w:pPr>
      <w:pStyle w:val="ad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45" w:rsidRDefault="001D3545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45" w:rsidRDefault="001D354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45"/>
    <w:rsid w:val="00060A73"/>
    <w:rsid w:val="001D3545"/>
    <w:rsid w:val="00271A8F"/>
    <w:rsid w:val="004972B9"/>
    <w:rsid w:val="004E1CDA"/>
    <w:rsid w:val="00532284"/>
    <w:rsid w:val="006B2609"/>
    <w:rsid w:val="007240BD"/>
    <w:rsid w:val="00743D48"/>
    <w:rsid w:val="007E4E6E"/>
    <w:rsid w:val="00935EB5"/>
    <w:rsid w:val="00951BA6"/>
    <w:rsid w:val="00955398"/>
    <w:rsid w:val="009E7DC8"/>
    <w:rsid w:val="00A16BE6"/>
    <w:rsid w:val="00A41917"/>
    <w:rsid w:val="00BC1536"/>
    <w:rsid w:val="00C072CE"/>
    <w:rsid w:val="00D83015"/>
    <w:rsid w:val="00F71C08"/>
    <w:rsid w:val="00F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rPr>
      <w:rFonts w:ascii="Times New Roman" w:hAnsi="Times New Roman" w:cs="Times New Roman"/>
      <w:sz w:val="22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с отступом 2 Знак"/>
    <w:basedOn w:val="a0"/>
    <w:qFormat/>
    <w:rPr>
      <w:sz w:val="28"/>
      <w:szCs w:val="24"/>
    </w:rPr>
  </w:style>
  <w:style w:type="character" w:customStyle="1" w:styleId="a4">
    <w:name w:val="Текст сноски Знак"/>
    <w:basedOn w:val="a0"/>
    <w:qFormat/>
    <w:rPr>
      <w:sz w:val="22"/>
      <w:szCs w:val="22"/>
    </w:rPr>
  </w:style>
  <w:style w:type="character" w:customStyle="1" w:styleId="a5">
    <w:name w:val="Нижний колонтитул Знак"/>
    <w:basedOn w:val="a0"/>
    <w:qFormat/>
    <w:rPr>
      <w:sz w:val="16"/>
      <w:szCs w:val="16"/>
    </w:rPr>
  </w:style>
  <w:style w:type="character" w:customStyle="1" w:styleId="a6">
    <w:name w:val="Верхний колонтитул Знак"/>
    <w:basedOn w:val="a0"/>
    <w:qFormat/>
    <w:rPr>
      <w:sz w:val="22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spacing w:after="120"/>
    </w:pPr>
    <w:rPr>
      <w:b/>
      <w:bCs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-15">
    <w:name w:val="14-15"/>
    <w:basedOn w:val="a"/>
    <w:qFormat/>
    <w:pPr>
      <w:spacing w:line="360" w:lineRule="auto"/>
      <w:ind w:firstLine="709"/>
      <w:jc w:val="both"/>
    </w:pPr>
  </w:style>
  <w:style w:type="paragraph" w:styleId="aa">
    <w:name w:val="footer"/>
    <w:basedOn w:val="a"/>
    <w:pPr>
      <w:jc w:val="left"/>
    </w:pPr>
    <w:rPr>
      <w:sz w:val="16"/>
      <w:szCs w:val="16"/>
    </w:rPr>
  </w:style>
  <w:style w:type="paragraph" w:customStyle="1" w:styleId="ab">
    <w:name w:val="Письмо"/>
    <w:basedOn w:val="a"/>
    <w:qFormat/>
    <w:pPr>
      <w:spacing w:after="120"/>
      <w:ind w:left="4253"/>
    </w:pPr>
  </w:style>
  <w:style w:type="paragraph" w:styleId="ac">
    <w:name w:val="footnote text"/>
    <w:basedOn w:val="a"/>
    <w:pPr>
      <w:widowControl w:val="0"/>
      <w:autoSpaceDE w:val="0"/>
      <w:spacing w:after="120"/>
      <w:jc w:val="both"/>
    </w:pPr>
    <w:rPr>
      <w:sz w:val="22"/>
      <w:szCs w:val="22"/>
    </w:rPr>
  </w:style>
  <w:style w:type="paragraph" w:customStyle="1" w:styleId="-1">
    <w:name w:val="Т-1"/>
    <w:basedOn w:val="a"/>
    <w:qFormat/>
    <w:pPr>
      <w:spacing w:line="360" w:lineRule="auto"/>
      <w:ind w:firstLine="720"/>
      <w:jc w:val="both"/>
    </w:pPr>
    <w:rPr>
      <w:szCs w:val="20"/>
    </w:rPr>
  </w:style>
  <w:style w:type="paragraph" w:styleId="ad">
    <w:name w:val="header"/>
    <w:basedOn w:val="a"/>
    <w:pPr>
      <w:jc w:val="left"/>
    </w:pPr>
    <w:rPr>
      <w:sz w:val="22"/>
      <w:szCs w:val="20"/>
    </w:rPr>
  </w:style>
  <w:style w:type="paragraph" w:customStyle="1" w:styleId="14">
    <w:name w:val="Загл.14"/>
    <w:basedOn w:val="a"/>
    <w:qFormat/>
    <w:pPr>
      <w:widowControl w:val="0"/>
    </w:pPr>
    <w:rPr>
      <w:b/>
      <w:bCs/>
      <w:szCs w:val="28"/>
    </w:rPr>
  </w:style>
  <w:style w:type="paragraph" w:customStyle="1" w:styleId="14-150">
    <w:name w:val="Текст 14-1.5"/>
    <w:basedOn w:val="a"/>
    <w:qFormat/>
    <w:pPr>
      <w:widowControl w:val="0"/>
      <w:spacing w:line="360" w:lineRule="auto"/>
      <w:ind w:firstLine="706"/>
      <w:jc w:val="both"/>
    </w:pPr>
    <w:rPr>
      <w:szCs w:val="28"/>
    </w:rPr>
  </w:style>
  <w:style w:type="paragraph" w:styleId="3">
    <w:name w:val="Body Text Indent 3"/>
    <w:basedOn w:val="a"/>
    <w:qFormat/>
    <w:pPr>
      <w:spacing w:line="360" w:lineRule="auto"/>
      <w:ind w:firstLine="742"/>
      <w:jc w:val="both"/>
    </w:pPr>
    <w:rPr>
      <w:sz w:val="26"/>
      <w:szCs w:val="20"/>
    </w:rPr>
  </w:style>
  <w:style w:type="paragraph" w:customStyle="1" w:styleId="ae">
    <w:name w:val="Норм"/>
    <w:basedOn w:val="a"/>
    <w:qFormat/>
  </w:style>
  <w:style w:type="paragraph" w:styleId="af">
    <w:name w:val="Body Text Indent"/>
    <w:basedOn w:val="a"/>
    <w:pPr>
      <w:shd w:val="clear" w:color="auto" w:fill="FFFFFF"/>
      <w:suppressAutoHyphens/>
      <w:spacing w:line="336" w:lineRule="auto"/>
      <w:ind w:firstLine="720"/>
      <w:jc w:val="both"/>
    </w:pPr>
    <w:rPr>
      <w:szCs w:val="28"/>
    </w:rPr>
  </w:style>
  <w:style w:type="paragraph" w:customStyle="1" w:styleId="Style10">
    <w:name w:val="Style10"/>
    <w:basedOn w:val="a"/>
    <w:qFormat/>
    <w:pPr>
      <w:widowControl w:val="0"/>
      <w:autoSpaceDE w:val="0"/>
      <w:spacing w:line="488" w:lineRule="exact"/>
      <w:ind w:firstLine="211"/>
      <w:jc w:val="both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qFormat/>
    <w:pPr>
      <w:spacing w:before="120" w:line="360" w:lineRule="auto"/>
      <w:ind w:firstLine="709"/>
      <w:jc w:val="both"/>
    </w:pPr>
  </w:style>
  <w:style w:type="paragraph" w:customStyle="1" w:styleId="ConsPlusNormal">
    <w:name w:val="ConsPlusNormal"/>
    <w:qFormat/>
    <w:pPr>
      <w:autoSpaceDE w:val="0"/>
    </w:pPr>
    <w:rPr>
      <w:rFonts w:eastAsia="Calibri" w:cs="Times New Roman"/>
      <w:sz w:val="28"/>
      <w:szCs w:val="28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rPr>
      <w:rFonts w:ascii="Times New Roman" w:hAnsi="Times New Roman" w:cs="Times New Roman"/>
      <w:sz w:val="22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с отступом 2 Знак"/>
    <w:basedOn w:val="a0"/>
    <w:qFormat/>
    <w:rPr>
      <w:sz w:val="28"/>
      <w:szCs w:val="24"/>
    </w:rPr>
  </w:style>
  <w:style w:type="character" w:customStyle="1" w:styleId="a4">
    <w:name w:val="Текст сноски Знак"/>
    <w:basedOn w:val="a0"/>
    <w:qFormat/>
    <w:rPr>
      <w:sz w:val="22"/>
      <w:szCs w:val="22"/>
    </w:rPr>
  </w:style>
  <w:style w:type="character" w:customStyle="1" w:styleId="a5">
    <w:name w:val="Нижний колонтитул Знак"/>
    <w:basedOn w:val="a0"/>
    <w:qFormat/>
    <w:rPr>
      <w:sz w:val="16"/>
      <w:szCs w:val="16"/>
    </w:rPr>
  </w:style>
  <w:style w:type="character" w:customStyle="1" w:styleId="a6">
    <w:name w:val="Верхний колонтитул Знак"/>
    <w:basedOn w:val="a0"/>
    <w:qFormat/>
    <w:rPr>
      <w:sz w:val="22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spacing w:after="120"/>
    </w:pPr>
    <w:rPr>
      <w:b/>
      <w:bCs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-15">
    <w:name w:val="14-15"/>
    <w:basedOn w:val="a"/>
    <w:qFormat/>
    <w:pPr>
      <w:spacing w:line="360" w:lineRule="auto"/>
      <w:ind w:firstLine="709"/>
      <w:jc w:val="both"/>
    </w:pPr>
  </w:style>
  <w:style w:type="paragraph" w:styleId="aa">
    <w:name w:val="footer"/>
    <w:basedOn w:val="a"/>
    <w:pPr>
      <w:jc w:val="left"/>
    </w:pPr>
    <w:rPr>
      <w:sz w:val="16"/>
      <w:szCs w:val="16"/>
    </w:rPr>
  </w:style>
  <w:style w:type="paragraph" w:customStyle="1" w:styleId="ab">
    <w:name w:val="Письмо"/>
    <w:basedOn w:val="a"/>
    <w:qFormat/>
    <w:pPr>
      <w:spacing w:after="120"/>
      <w:ind w:left="4253"/>
    </w:pPr>
  </w:style>
  <w:style w:type="paragraph" w:styleId="ac">
    <w:name w:val="footnote text"/>
    <w:basedOn w:val="a"/>
    <w:pPr>
      <w:widowControl w:val="0"/>
      <w:autoSpaceDE w:val="0"/>
      <w:spacing w:after="120"/>
      <w:jc w:val="both"/>
    </w:pPr>
    <w:rPr>
      <w:sz w:val="22"/>
      <w:szCs w:val="22"/>
    </w:rPr>
  </w:style>
  <w:style w:type="paragraph" w:customStyle="1" w:styleId="-1">
    <w:name w:val="Т-1"/>
    <w:basedOn w:val="a"/>
    <w:qFormat/>
    <w:pPr>
      <w:spacing w:line="360" w:lineRule="auto"/>
      <w:ind w:firstLine="720"/>
      <w:jc w:val="both"/>
    </w:pPr>
    <w:rPr>
      <w:szCs w:val="20"/>
    </w:rPr>
  </w:style>
  <w:style w:type="paragraph" w:styleId="ad">
    <w:name w:val="header"/>
    <w:basedOn w:val="a"/>
    <w:pPr>
      <w:jc w:val="left"/>
    </w:pPr>
    <w:rPr>
      <w:sz w:val="22"/>
      <w:szCs w:val="20"/>
    </w:rPr>
  </w:style>
  <w:style w:type="paragraph" w:customStyle="1" w:styleId="14">
    <w:name w:val="Загл.14"/>
    <w:basedOn w:val="a"/>
    <w:qFormat/>
    <w:pPr>
      <w:widowControl w:val="0"/>
    </w:pPr>
    <w:rPr>
      <w:b/>
      <w:bCs/>
      <w:szCs w:val="28"/>
    </w:rPr>
  </w:style>
  <w:style w:type="paragraph" w:customStyle="1" w:styleId="14-150">
    <w:name w:val="Текст 14-1.5"/>
    <w:basedOn w:val="a"/>
    <w:qFormat/>
    <w:pPr>
      <w:widowControl w:val="0"/>
      <w:spacing w:line="360" w:lineRule="auto"/>
      <w:ind w:firstLine="706"/>
      <w:jc w:val="both"/>
    </w:pPr>
    <w:rPr>
      <w:szCs w:val="28"/>
    </w:rPr>
  </w:style>
  <w:style w:type="paragraph" w:styleId="3">
    <w:name w:val="Body Text Indent 3"/>
    <w:basedOn w:val="a"/>
    <w:qFormat/>
    <w:pPr>
      <w:spacing w:line="360" w:lineRule="auto"/>
      <w:ind w:firstLine="742"/>
      <w:jc w:val="both"/>
    </w:pPr>
    <w:rPr>
      <w:sz w:val="26"/>
      <w:szCs w:val="20"/>
    </w:rPr>
  </w:style>
  <w:style w:type="paragraph" w:customStyle="1" w:styleId="ae">
    <w:name w:val="Норм"/>
    <w:basedOn w:val="a"/>
    <w:qFormat/>
  </w:style>
  <w:style w:type="paragraph" w:styleId="af">
    <w:name w:val="Body Text Indent"/>
    <w:basedOn w:val="a"/>
    <w:pPr>
      <w:shd w:val="clear" w:color="auto" w:fill="FFFFFF"/>
      <w:suppressAutoHyphens/>
      <w:spacing w:line="336" w:lineRule="auto"/>
      <w:ind w:firstLine="720"/>
      <w:jc w:val="both"/>
    </w:pPr>
    <w:rPr>
      <w:szCs w:val="28"/>
    </w:rPr>
  </w:style>
  <w:style w:type="paragraph" w:customStyle="1" w:styleId="Style10">
    <w:name w:val="Style10"/>
    <w:basedOn w:val="a"/>
    <w:qFormat/>
    <w:pPr>
      <w:widowControl w:val="0"/>
      <w:autoSpaceDE w:val="0"/>
      <w:spacing w:line="488" w:lineRule="exact"/>
      <w:ind w:firstLine="211"/>
      <w:jc w:val="both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qFormat/>
    <w:pPr>
      <w:spacing w:before="120" w:line="360" w:lineRule="auto"/>
      <w:ind w:firstLine="709"/>
      <w:jc w:val="both"/>
    </w:pPr>
  </w:style>
  <w:style w:type="paragraph" w:customStyle="1" w:styleId="ConsPlusNormal">
    <w:name w:val="ConsPlusNormal"/>
    <w:qFormat/>
    <w:pPr>
      <w:autoSpaceDE w:val="0"/>
    </w:pPr>
    <w:rPr>
      <w:rFonts w:eastAsia="Calibri" w:cs="Times New Roman"/>
      <w:sz w:val="28"/>
      <w:szCs w:val="28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3010</Words>
  <Characters>17157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 Порядке приема, учета, анализа, обработки и хранения в Центральной избирательной комиссии Российской Федерации документов, связанных с вопросами предвыборной агитации, в период избирательных кампаний по выборам депутатов Государственной Думы Федерально</vt:lpstr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приема, учета, анализа, обработки и хранения в Центральной избирательной комиссии Российской Федерации документов, связанных с вопросами предвыборной агитации, в период избирательных кампаний по выборам депутатов Государственной Думы Федерально</dc:title>
  <dc:creator>mashb4</dc:creator>
  <cp:lastModifiedBy>Татьяна Валентиновна Измикова</cp:lastModifiedBy>
  <cp:revision>2</cp:revision>
  <cp:lastPrinted>2018-08-04T11:34:00Z</cp:lastPrinted>
  <dcterms:created xsi:type="dcterms:W3CDTF">2018-08-09T07:07:00Z</dcterms:created>
  <dcterms:modified xsi:type="dcterms:W3CDTF">2018-08-09T07:07:00Z</dcterms:modified>
  <dc:language>en-US</dc:language>
</cp:coreProperties>
</file>